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E32F3">
      <w:pPr>
        <w:pStyle w:val="19"/>
        <w:snapToGrid w:val="0"/>
        <w:spacing w:line="276" w:lineRule="auto"/>
        <w:jc w:val="center"/>
        <w:rPr>
          <w:rFonts w:hint="eastAsia" w:hAnsi="宋体" w:eastAsia="宋体"/>
          <w:b/>
          <w:bCs/>
          <w:color w:val="auto"/>
          <w:sz w:val="56"/>
          <w:szCs w:val="52"/>
          <w:highlight w:val="none"/>
          <w:lang w:eastAsia="zh-CN"/>
        </w:rPr>
      </w:pPr>
      <w:r>
        <w:rPr>
          <w:rFonts w:hint="eastAsia" w:hAnsi="宋体"/>
          <w:b/>
          <w:bCs/>
          <w:color w:val="auto"/>
          <w:sz w:val="44"/>
          <w:szCs w:val="52"/>
          <w:highlight w:val="none"/>
          <w:lang w:eastAsia="zh-CN"/>
        </w:rPr>
        <w:t>灵宝市城市管理局灵宝市生活垃圾分类收运设备及环卫车辆更新项目（设备车辆购置第一批）项目</w:t>
      </w:r>
    </w:p>
    <w:p w14:paraId="53C52EDD">
      <w:pPr>
        <w:adjustRightInd w:val="0"/>
        <w:snapToGrid w:val="0"/>
        <w:spacing w:line="360" w:lineRule="auto"/>
        <w:rPr>
          <w:rFonts w:ascii="宋体" w:hAnsi="宋体" w:cs="宋体"/>
          <w:b/>
          <w:color w:val="auto"/>
          <w:sz w:val="48"/>
          <w:szCs w:val="48"/>
          <w:highlight w:val="none"/>
        </w:rPr>
      </w:pPr>
    </w:p>
    <w:p w14:paraId="6EB60515">
      <w:pPr>
        <w:adjustRightInd w:val="0"/>
        <w:snapToGrid w:val="0"/>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项目编号：灵宝公开采购-2025-72</w:t>
      </w:r>
    </w:p>
    <w:p w14:paraId="0666D745">
      <w:pPr>
        <w:adjustRightInd w:val="0"/>
        <w:snapToGrid w:val="0"/>
        <w:spacing w:line="360" w:lineRule="auto"/>
        <w:jc w:val="center"/>
        <w:rPr>
          <w:rFonts w:hint="default" w:ascii="宋体" w:hAnsi="宋体"/>
          <w:b/>
          <w:bCs/>
          <w:color w:val="auto"/>
          <w:sz w:val="32"/>
          <w:szCs w:val="32"/>
          <w:highlight w:val="none"/>
          <w:lang w:val="en-US" w:eastAsia="zh-CN"/>
        </w:rPr>
      </w:pPr>
    </w:p>
    <w:p w14:paraId="4C50357A">
      <w:pPr>
        <w:adjustRightInd w:val="0"/>
        <w:snapToGrid w:val="0"/>
        <w:spacing w:line="360" w:lineRule="auto"/>
        <w:jc w:val="center"/>
        <w:rPr>
          <w:rFonts w:ascii="宋体" w:hAnsi="宋体" w:cs="宋体"/>
          <w:b/>
          <w:color w:val="auto"/>
          <w:sz w:val="96"/>
          <w:szCs w:val="72"/>
          <w:highlight w:val="none"/>
        </w:rPr>
      </w:pPr>
      <w:r>
        <w:rPr>
          <w:rFonts w:hint="eastAsia" w:ascii="宋体" w:hAnsi="宋体" w:cs="宋体"/>
          <w:b/>
          <w:color w:val="auto"/>
          <w:sz w:val="96"/>
          <w:szCs w:val="72"/>
          <w:highlight w:val="none"/>
        </w:rPr>
        <w:t>招标文件</w:t>
      </w:r>
    </w:p>
    <w:p w14:paraId="3D6955E7">
      <w:pPr>
        <w:pStyle w:val="14"/>
        <w:snapToGrid w:val="0"/>
        <w:spacing w:after="0" w:line="360" w:lineRule="auto"/>
        <w:ind w:left="0" w:leftChars="0" w:right="0" w:rightChars="0" w:firstLine="0" w:firstLineChars="0"/>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drawing>
          <wp:inline distT="0" distB="0" distL="114300" distR="114300">
            <wp:extent cx="2657475" cy="2514600"/>
            <wp:effectExtent l="0" t="0" r="9525" b="0"/>
            <wp:docPr id="2" name="图片 2" descr="红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红城"/>
                    <pic:cNvPicPr>
                      <a:picLocks noChangeAspect="1"/>
                    </pic:cNvPicPr>
                  </pic:nvPicPr>
                  <pic:blipFill>
                    <a:blip r:embed="rId8"/>
                    <a:stretch>
                      <a:fillRect/>
                    </a:stretch>
                  </pic:blipFill>
                  <pic:spPr>
                    <a:xfrm>
                      <a:off x="0" y="0"/>
                      <a:ext cx="2657475" cy="2514600"/>
                    </a:xfrm>
                    <a:prstGeom prst="rect">
                      <a:avLst/>
                    </a:prstGeom>
                  </pic:spPr>
                </pic:pic>
              </a:graphicData>
            </a:graphic>
          </wp:inline>
        </w:drawing>
      </w:r>
    </w:p>
    <w:p w14:paraId="15A45D15">
      <w:pPr>
        <w:pStyle w:val="14"/>
        <w:snapToGrid w:val="0"/>
        <w:spacing w:after="0" w:line="360" w:lineRule="auto"/>
        <w:ind w:left="0" w:leftChars="0" w:right="0" w:rightChars="0" w:firstLine="0" w:firstLineChars="0"/>
        <w:jc w:val="left"/>
        <w:rPr>
          <w:color w:val="auto"/>
          <w:sz w:val="24"/>
          <w:szCs w:val="24"/>
          <w:highlight w:val="none"/>
        </w:rPr>
      </w:pPr>
    </w:p>
    <w:p w14:paraId="2C938226">
      <w:pPr>
        <w:adjustRightInd w:val="0"/>
        <w:snapToGrid w:val="0"/>
        <w:spacing w:line="360" w:lineRule="auto"/>
        <w:jc w:val="left"/>
        <w:rPr>
          <w:rFonts w:cs="宋体" w:asciiTheme="minorEastAsia" w:hAnsiTheme="minorEastAsia" w:eastAsiaTheme="minorEastAsia"/>
          <w:b/>
          <w:bCs/>
          <w:color w:val="auto"/>
          <w:sz w:val="24"/>
          <w:szCs w:val="24"/>
          <w:highlight w:val="none"/>
        </w:rPr>
      </w:pPr>
    </w:p>
    <w:p w14:paraId="19D2193B">
      <w:pPr>
        <w:adjustRightInd w:val="0"/>
        <w:snapToGrid w:val="0"/>
        <w:spacing w:line="360" w:lineRule="auto"/>
        <w:rPr>
          <w:rFonts w:ascii="宋体" w:hAnsi="宋体" w:cs="宋体"/>
          <w:b/>
          <w:bCs/>
          <w:color w:val="auto"/>
          <w:sz w:val="32"/>
          <w:szCs w:val="32"/>
          <w:highlight w:val="none"/>
        </w:rPr>
      </w:pPr>
    </w:p>
    <w:p w14:paraId="681E29D6">
      <w:pPr>
        <w:adjustRightInd w:val="0"/>
        <w:snapToGrid w:val="0"/>
        <w:spacing w:line="360" w:lineRule="auto"/>
        <w:jc w:val="left"/>
        <w:rPr>
          <w:rFonts w:ascii="宋体" w:hAnsi="宋体" w:cs="宋体"/>
          <w:b/>
          <w:bCs/>
          <w:color w:val="auto"/>
          <w:sz w:val="24"/>
          <w:szCs w:val="32"/>
          <w:highlight w:val="none"/>
        </w:rPr>
      </w:pPr>
    </w:p>
    <w:p w14:paraId="656A7678">
      <w:pPr>
        <w:adjustRightInd w:val="0"/>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采购人：</w:t>
      </w:r>
      <w:r>
        <w:rPr>
          <w:rFonts w:hint="eastAsia" w:ascii="宋体" w:hAnsi="宋体" w:cs="宋体"/>
          <w:b/>
          <w:bCs/>
          <w:color w:val="auto"/>
          <w:sz w:val="32"/>
          <w:szCs w:val="32"/>
          <w:highlight w:val="none"/>
          <w:lang w:eastAsia="zh-CN"/>
        </w:rPr>
        <w:t>灵宝市城市管理局</w:t>
      </w:r>
    </w:p>
    <w:p w14:paraId="6ED82A5B">
      <w:pPr>
        <w:adjustRightInd w:val="0"/>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代理机构：</w:t>
      </w:r>
      <w:r>
        <w:rPr>
          <w:rFonts w:hint="eastAsia" w:ascii="宋体" w:hAnsi="宋体" w:cs="宋体"/>
          <w:b/>
          <w:bCs/>
          <w:color w:val="auto"/>
          <w:sz w:val="32"/>
          <w:szCs w:val="32"/>
          <w:highlight w:val="none"/>
          <w:lang w:eastAsia="zh-CN"/>
        </w:rPr>
        <w:t>红城国际工程项目管理有限公司</w:t>
      </w:r>
    </w:p>
    <w:p w14:paraId="36AD605F">
      <w:pPr>
        <w:adjustRightInd w:val="0"/>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日    期：二零二</w:t>
      </w:r>
      <w:r>
        <w:rPr>
          <w:rFonts w:hint="eastAsia" w:ascii="宋体" w:hAnsi="宋体" w:cs="宋体"/>
          <w:b/>
          <w:bCs/>
          <w:color w:val="auto"/>
          <w:sz w:val="32"/>
          <w:szCs w:val="32"/>
          <w:highlight w:val="none"/>
          <w:lang w:eastAsia="zh-CN"/>
        </w:rPr>
        <w:t>五</w:t>
      </w:r>
      <w:r>
        <w:rPr>
          <w:rFonts w:hint="eastAsia" w:ascii="宋体" w:hAnsi="宋体" w:cs="宋体"/>
          <w:b/>
          <w:bCs/>
          <w:color w:val="auto"/>
          <w:sz w:val="32"/>
          <w:szCs w:val="32"/>
          <w:highlight w:val="none"/>
        </w:rPr>
        <w:t>年十</w:t>
      </w:r>
      <w:r>
        <w:rPr>
          <w:rFonts w:hint="eastAsia" w:ascii="宋体" w:hAnsi="宋体" w:cs="宋体"/>
          <w:b/>
          <w:bCs/>
          <w:color w:val="auto"/>
          <w:sz w:val="32"/>
          <w:szCs w:val="32"/>
          <w:highlight w:val="none"/>
          <w:lang w:eastAsia="zh-CN"/>
        </w:rPr>
        <w:t>一</w:t>
      </w:r>
      <w:r>
        <w:rPr>
          <w:rFonts w:hint="eastAsia" w:ascii="宋体" w:hAnsi="宋体" w:cs="宋体"/>
          <w:b/>
          <w:bCs/>
          <w:color w:val="auto"/>
          <w:sz w:val="32"/>
          <w:szCs w:val="32"/>
          <w:highlight w:val="none"/>
        </w:rPr>
        <w:t>月</w:t>
      </w:r>
    </w:p>
    <w:p w14:paraId="11B9CF68">
      <w:pPr>
        <w:spacing w:after="0" w:line="0" w:lineRule="atLeast"/>
        <w:ind w:right="-340" w:rightChars="-162"/>
        <w:jc w:val="center"/>
        <w:rPr>
          <w:rFonts w:ascii="宋体" w:hAnsi="宋体" w:cs="宋体"/>
          <w:b/>
          <w:bCs/>
          <w:color w:val="auto"/>
          <w:sz w:val="44"/>
          <w:szCs w:val="44"/>
          <w:highlight w:val="none"/>
        </w:rPr>
        <w:sectPr>
          <w:footerReference r:id="rId3" w:type="default"/>
          <w:pgSz w:w="11905" w:h="16838"/>
          <w:pgMar w:top="1440" w:right="1417" w:bottom="1440" w:left="1417" w:header="680" w:footer="680" w:gutter="0"/>
          <w:pgBorders>
            <w:top w:val="none" w:sz="0" w:space="0"/>
            <w:left w:val="none" w:sz="0" w:space="0"/>
            <w:bottom w:val="none" w:sz="0" w:space="0"/>
            <w:right w:val="none" w:sz="0" w:space="0"/>
          </w:pgBorders>
          <w:pgNumType w:fmt="numberInDash" w:start="1"/>
          <w:cols w:space="0" w:num="1"/>
          <w:rtlGutter w:val="0"/>
          <w:docGrid w:type="lines" w:linePitch="317" w:charSpace="0"/>
        </w:sectPr>
      </w:pPr>
    </w:p>
    <w:sdt>
      <w:sdtPr>
        <w:rPr>
          <w:rFonts w:ascii="宋体" w:hAnsi="宋体" w:eastAsia="宋体" w:cs="Times New Roman"/>
          <w:color w:val="auto"/>
          <w:kern w:val="2"/>
          <w:sz w:val="32"/>
          <w:szCs w:val="32"/>
          <w:highlight w:val="none"/>
          <w:lang w:val="en-US" w:eastAsia="zh-CN" w:bidi="ar-SA"/>
        </w:rPr>
        <w:id w:val="147451686"/>
        <w15:color w:val="DBDBDB"/>
        <w:docPartObj>
          <w:docPartGallery w:val="Table of Contents"/>
          <w:docPartUnique/>
        </w:docPartObj>
      </w:sdtPr>
      <w:sdtEndPr>
        <w:rPr>
          <w:rFonts w:ascii="宋体" w:hAnsi="宋体" w:eastAsia="宋体" w:cs="Times New Roman"/>
          <w:color w:val="auto"/>
          <w:kern w:val="2"/>
          <w:sz w:val="32"/>
          <w:szCs w:val="32"/>
          <w:highlight w:val="none"/>
          <w:lang w:val="en-US" w:eastAsia="zh-CN" w:bidi="ar-SA"/>
        </w:rPr>
      </w:sdtEndPr>
      <w:sdtContent>
        <w:p w14:paraId="54777C16">
          <w:pPr>
            <w:spacing w:before="0" w:beforeLines="0" w:after="0" w:afterLines="0" w:line="240" w:lineRule="auto"/>
            <w:ind w:left="0" w:leftChars="0" w:right="0" w:rightChars="0" w:firstLine="0" w:firstLineChars="0"/>
            <w:jc w:val="center"/>
            <w:rPr>
              <w:color w:val="auto"/>
              <w:sz w:val="32"/>
              <w:szCs w:val="32"/>
              <w:highlight w:val="none"/>
            </w:rPr>
          </w:pPr>
          <w:r>
            <w:rPr>
              <w:rFonts w:ascii="宋体" w:hAnsi="宋体" w:eastAsia="宋体"/>
              <w:color w:val="auto"/>
              <w:sz w:val="32"/>
              <w:szCs w:val="32"/>
              <w:highlight w:val="none"/>
            </w:rPr>
            <w:t>目录</w:t>
          </w:r>
        </w:p>
        <w:p w14:paraId="0335435B">
          <w:pPr>
            <w:pStyle w:val="13"/>
            <w:tabs>
              <w:tab w:val="right" w:leader="dot" w:pos="9071"/>
            </w:tabs>
            <w:rPr>
              <w:color w:val="auto"/>
              <w:sz w:val="30"/>
              <w:szCs w:val="30"/>
              <w:highlight w:val="none"/>
            </w:rPr>
          </w:pPr>
          <w:r>
            <w:rPr>
              <w:color w:val="auto"/>
              <w:sz w:val="30"/>
              <w:szCs w:val="30"/>
              <w:highlight w:val="none"/>
            </w:rPr>
            <w:fldChar w:fldCharType="begin"/>
          </w:r>
          <w:r>
            <w:rPr>
              <w:color w:val="auto"/>
              <w:sz w:val="30"/>
              <w:szCs w:val="30"/>
              <w:highlight w:val="none"/>
            </w:rPr>
            <w:instrText xml:space="preserve">TOC \o "1-3" \h \u </w:instrText>
          </w:r>
          <w:r>
            <w:rPr>
              <w:color w:val="auto"/>
              <w:sz w:val="30"/>
              <w:szCs w:val="30"/>
              <w:highlight w:val="none"/>
            </w:rPr>
            <w:fldChar w:fldCharType="separate"/>
          </w:r>
          <w:r>
            <w:rPr>
              <w:color w:val="auto"/>
              <w:sz w:val="30"/>
              <w:szCs w:val="30"/>
              <w:highlight w:val="none"/>
            </w:rPr>
            <w:fldChar w:fldCharType="begin"/>
          </w:r>
          <w:r>
            <w:rPr>
              <w:color w:val="auto"/>
              <w:sz w:val="30"/>
              <w:szCs w:val="30"/>
              <w:highlight w:val="none"/>
            </w:rPr>
            <w:instrText xml:space="preserve"> HYPERLINK \l _Toc21866 </w:instrText>
          </w:r>
          <w:r>
            <w:rPr>
              <w:color w:val="auto"/>
              <w:sz w:val="30"/>
              <w:szCs w:val="30"/>
              <w:highlight w:val="none"/>
            </w:rPr>
            <w:fldChar w:fldCharType="separate"/>
          </w:r>
          <w:r>
            <w:rPr>
              <w:rFonts w:hint="eastAsia"/>
              <w:color w:val="auto"/>
              <w:sz w:val="30"/>
              <w:szCs w:val="30"/>
              <w:highlight w:val="none"/>
            </w:rPr>
            <w:t xml:space="preserve">第一章 </w:t>
          </w:r>
          <w:r>
            <w:rPr>
              <w:rFonts w:hint="eastAsia"/>
              <w:color w:val="auto"/>
              <w:sz w:val="30"/>
              <w:szCs w:val="30"/>
              <w:highlight w:val="none"/>
              <w:lang w:val="en-US" w:eastAsia="zh-CN"/>
            </w:rPr>
            <w:t xml:space="preserve"> </w:t>
          </w:r>
          <w:r>
            <w:rPr>
              <w:rFonts w:hint="eastAsia"/>
              <w:color w:val="auto"/>
              <w:sz w:val="30"/>
              <w:szCs w:val="30"/>
              <w:highlight w:val="none"/>
            </w:rPr>
            <w:t>招标公告</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_Toc21866 \h </w:instrText>
          </w:r>
          <w:r>
            <w:rPr>
              <w:color w:val="auto"/>
              <w:sz w:val="30"/>
              <w:szCs w:val="30"/>
              <w:highlight w:val="none"/>
            </w:rPr>
            <w:fldChar w:fldCharType="separate"/>
          </w:r>
          <w:r>
            <w:rPr>
              <w:color w:val="auto"/>
              <w:sz w:val="30"/>
              <w:szCs w:val="30"/>
              <w:highlight w:val="none"/>
            </w:rPr>
            <w:t>- 2 -</w:t>
          </w:r>
          <w:r>
            <w:rPr>
              <w:color w:val="auto"/>
              <w:sz w:val="30"/>
              <w:szCs w:val="30"/>
              <w:highlight w:val="none"/>
            </w:rPr>
            <w:fldChar w:fldCharType="end"/>
          </w:r>
          <w:r>
            <w:rPr>
              <w:color w:val="auto"/>
              <w:sz w:val="30"/>
              <w:szCs w:val="30"/>
              <w:highlight w:val="none"/>
            </w:rPr>
            <w:fldChar w:fldCharType="end"/>
          </w:r>
        </w:p>
        <w:p w14:paraId="5EE16919">
          <w:pPr>
            <w:pStyle w:val="13"/>
            <w:tabs>
              <w:tab w:val="right" w:leader="dot" w:pos="9071"/>
            </w:tabs>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_Toc6584 </w:instrText>
          </w:r>
          <w:r>
            <w:rPr>
              <w:color w:val="auto"/>
              <w:sz w:val="30"/>
              <w:szCs w:val="30"/>
              <w:highlight w:val="none"/>
            </w:rPr>
            <w:fldChar w:fldCharType="separate"/>
          </w:r>
          <w:r>
            <w:rPr>
              <w:rFonts w:hint="eastAsia"/>
              <w:color w:val="auto"/>
              <w:sz w:val="30"/>
              <w:szCs w:val="30"/>
              <w:highlight w:val="none"/>
            </w:rPr>
            <w:t xml:space="preserve">第二章 </w:t>
          </w:r>
          <w:r>
            <w:rPr>
              <w:rFonts w:hint="eastAsia"/>
              <w:color w:val="auto"/>
              <w:sz w:val="30"/>
              <w:szCs w:val="30"/>
              <w:highlight w:val="none"/>
              <w:lang w:val="en-US" w:eastAsia="zh-CN"/>
            </w:rPr>
            <w:t xml:space="preserve"> </w:t>
          </w:r>
          <w:r>
            <w:rPr>
              <w:rFonts w:hint="eastAsia"/>
              <w:color w:val="auto"/>
              <w:sz w:val="30"/>
              <w:szCs w:val="30"/>
              <w:highlight w:val="none"/>
            </w:rPr>
            <w:t>供应商须知</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_Toc6584 \h </w:instrText>
          </w:r>
          <w:r>
            <w:rPr>
              <w:color w:val="auto"/>
              <w:sz w:val="30"/>
              <w:szCs w:val="30"/>
              <w:highlight w:val="none"/>
            </w:rPr>
            <w:fldChar w:fldCharType="separate"/>
          </w:r>
          <w:r>
            <w:rPr>
              <w:color w:val="auto"/>
              <w:sz w:val="30"/>
              <w:szCs w:val="30"/>
              <w:highlight w:val="none"/>
            </w:rPr>
            <w:t>- 9 -</w:t>
          </w:r>
          <w:r>
            <w:rPr>
              <w:color w:val="auto"/>
              <w:sz w:val="30"/>
              <w:szCs w:val="30"/>
              <w:highlight w:val="none"/>
            </w:rPr>
            <w:fldChar w:fldCharType="end"/>
          </w:r>
          <w:r>
            <w:rPr>
              <w:color w:val="auto"/>
              <w:sz w:val="30"/>
              <w:szCs w:val="30"/>
              <w:highlight w:val="none"/>
            </w:rPr>
            <w:fldChar w:fldCharType="end"/>
          </w:r>
        </w:p>
        <w:p w14:paraId="28469501">
          <w:pPr>
            <w:pStyle w:val="13"/>
            <w:tabs>
              <w:tab w:val="right" w:leader="dot" w:pos="9071"/>
            </w:tabs>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_Toc1291 </w:instrText>
          </w:r>
          <w:r>
            <w:rPr>
              <w:color w:val="auto"/>
              <w:sz w:val="30"/>
              <w:szCs w:val="30"/>
              <w:highlight w:val="none"/>
            </w:rPr>
            <w:fldChar w:fldCharType="separate"/>
          </w:r>
          <w:r>
            <w:rPr>
              <w:rFonts w:hint="eastAsia"/>
              <w:color w:val="auto"/>
              <w:sz w:val="30"/>
              <w:szCs w:val="30"/>
              <w:highlight w:val="none"/>
            </w:rPr>
            <w:t>第三章  采购清单及技术要求</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_Toc1291 \h </w:instrText>
          </w:r>
          <w:r>
            <w:rPr>
              <w:color w:val="auto"/>
              <w:sz w:val="30"/>
              <w:szCs w:val="30"/>
              <w:highlight w:val="none"/>
            </w:rPr>
            <w:fldChar w:fldCharType="separate"/>
          </w:r>
          <w:r>
            <w:rPr>
              <w:color w:val="auto"/>
              <w:sz w:val="30"/>
              <w:szCs w:val="30"/>
              <w:highlight w:val="none"/>
            </w:rPr>
            <w:t>- 27 -</w:t>
          </w:r>
          <w:r>
            <w:rPr>
              <w:color w:val="auto"/>
              <w:sz w:val="30"/>
              <w:szCs w:val="30"/>
              <w:highlight w:val="none"/>
            </w:rPr>
            <w:fldChar w:fldCharType="end"/>
          </w:r>
          <w:r>
            <w:rPr>
              <w:color w:val="auto"/>
              <w:sz w:val="30"/>
              <w:szCs w:val="30"/>
              <w:highlight w:val="none"/>
            </w:rPr>
            <w:fldChar w:fldCharType="end"/>
          </w:r>
        </w:p>
        <w:p w14:paraId="2363FFD4">
          <w:pPr>
            <w:pStyle w:val="13"/>
            <w:tabs>
              <w:tab w:val="right" w:leader="dot" w:pos="9071"/>
            </w:tabs>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_Toc30910 </w:instrText>
          </w:r>
          <w:r>
            <w:rPr>
              <w:color w:val="auto"/>
              <w:sz w:val="30"/>
              <w:szCs w:val="30"/>
              <w:highlight w:val="none"/>
            </w:rPr>
            <w:fldChar w:fldCharType="separate"/>
          </w:r>
          <w:r>
            <w:rPr>
              <w:rFonts w:hint="eastAsia" w:ascii="宋体" w:hAnsi="宋体" w:cs="宋体"/>
              <w:bCs/>
              <w:color w:val="auto"/>
              <w:sz w:val="30"/>
              <w:szCs w:val="30"/>
              <w:highlight w:val="none"/>
            </w:rPr>
            <w:t>第四章  合同条款及格式</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_Toc30910 \h </w:instrText>
          </w:r>
          <w:r>
            <w:rPr>
              <w:color w:val="auto"/>
              <w:sz w:val="30"/>
              <w:szCs w:val="30"/>
              <w:highlight w:val="none"/>
            </w:rPr>
            <w:fldChar w:fldCharType="separate"/>
          </w:r>
          <w:r>
            <w:rPr>
              <w:color w:val="auto"/>
              <w:sz w:val="30"/>
              <w:szCs w:val="30"/>
              <w:highlight w:val="none"/>
            </w:rPr>
            <w:t>- 63 -</w:t>
          </w:r>
          <w:r>
            <w:rPr>
              <w:color w:val="auto"/>
              <w:sz w:val="30"/>
              <w:szCs w:val="30"/>
              <w:highlight w:val="none"/>
            </w:rPr>
            <w:fldChar w:fldCharType="end"/>
          </w:r>
          <w:r>
            <w:rPr>
              <w:color w:val="auto"/>
              <w:sz w:val="30"/>
              <w:szCs w:val="30"/>
              <w:highlight w:val="none"/>
            </w:rPr>
            <w:fldChar w:fldCharType="end"/>
          </w:r>
        </w:p>
        <w:p w14:paraId="68C2D6C5">
          <w:pPr>
            <w:pStyle w:val="13"/>
            <w:tabs>
              <w:tab w:val="right" w:leader="dot" w:pos="9071"/>
            </w:tabs>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_Toc8009 </w:instrText>
          </w:r>
          <w:r>
            <w:rPr>
              <w:color w:val="auto"/>
              <w:sz w:val="30"/>
              <w:szCs w:val="30"/>
              <w:highlight w:val="none"/>
            </w:rPr>
            <w:fldChar w:fldCharType="separate"/>
          </w:r>
          <w:r>
            <w:rPr>
              <w:rFonts w:hint="eastAsia" w:ascii="宋体" w:hAnsi="宋体" w:cs="宋体"/>
              <w:bCs w:val="0"/>
              <w:color w:val="auto"/>
              <w:sz w:val="30"/>
              <w:szCs w:val="30"/>
              <w:highlight w:val="none"/>
            </w:rPr>
            <w:t>第五章</w:t>
          </w:r>
          <w:r>
            <w:rPr>
              <w:rFonts w:hint="eastAsia" w:ascii="宋体" w:hAnsi="宋体" w:cs="宋体"/>
              <w:bCs w:val="0"/>
              <w:color w:val="auto"/>
              <w:sz w:val="30"/>
              <w:szCs w:val="30"/>
              <w:highlight w:val="none"/>
              <w:lang w:val="en-US" w:eastAsia="zh-CN"/>
            </w:rPr>
            <w:t xml:space="preserve"> </w:t>
          </w:r>
          <w:r>
            <w:rPr>
              <w:rFonts w:hint="eastAsia" w:ascii="宋体" w:hAnsi="宋体" w:cs="宋体"/>
              <w:bCs w:val="0"/>
              <w:color w:val="auto"/>
              <w:sz w:val="30"/>
              <w:szCs w:val="30"/>
              <w:highlight w:val="none"/>
            </w:rPr>
            <w:t xml:space="preserve"> 评标标准和方法</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_Toc8009 \h </w:instrText>
          </w:r>
          <w:r>
            <w:rPr>
              <w:color w:val="auto"/>
              <w:sz w:val="30"/>
              <w:szCs w:val="30"/>
              <w:highlight w:val="none"/>
            </w:rPr>
            <w:fldChar w:fldCharType="separate"/>
          </w:r>
          <w:r>
            <w:rPr>
              <w:color w:val="auto"/>
              <w:sz w:val="30"/>
              <w:szCs w:val="30"/>
              <w:highlight w:val="none"/>
            </w:rPr>
            <w:t>- 80 -</w:t>
          </w:r>
          <w:r>
            <w:rPr>
              <w:color w:val="auto"/>
              <w:sz w:val="30"/>
              <w:szCs w:val="30"/>
              <w:highlight w:val="none"/>
            </w:rPr>
            <w:fldChar w:fldCharType="end"/>
          </w:r>
          <w:r>
            <w:rPr>
              <w:color w:val="auto"/>
              <w:sz w:val="30"/>
              <w:szCs w:val="30"/>
              <w:highlight w:val="none"/>
            </w:rPr>
            <w:fldChar w:fldCharType="end"/>
          </w:r>
        </w:p>
        <w:p w14:paraId="1DD60C9A">
          <w:pPr>
            <w:pStyle w:val="13"/>
            <w:tabs>
              <w:tab w:val="right" w:leader="dot" w:pos="9071"/>
            </w:tabs>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_Toc3527 </w:instrText>
          </w:r>
          <w:r>
            <w:rPr>
              <w:color w:val="auto"/>
              <w:sz w:val="30"/>
              <w:szCs w:val="30"/>
              <w:highlight w:val="none"/>
            </w:rPr>
            <w:fldChar w:fldCharType="separate"/>
          </w:r>
          <w:r>
            <w:rPr>
              <w:rFonts w:hint="eastAsia"/>
              <w:color w:val="auto"/>
              <w:sz w:val="30"/>
              <w:szCs w:val="30"/>
              <w:highlight w:val="none"/>
            </w:rPr>
            <w:t xml:space="preserve">第六章 </w:t>
          </w:r>
          <w:r>
            <w:rPr>
              <w:rFonts w:hint="eastAsia"/>
              <w:color w:val="auto"/>
              <w:sz w:val="30"/>
              <w:szCs w:val="30"/>
              <w:highlight w:val="none"/>
              <w:lang w:val="en-US" w:eastAsia="zh-CN"/>
            </w:rPr>
            <w:t xml:space="preserve"> </w:t>
          </w:r>
          <w:r>
            <w:rPr>
              <w:rFonts w:hint="eastAsia"/>
              <w:color w:val="auto"/>
              <w:sz w:val="30"/>
              <w:szCs w:val="30"/>
              <w:highlight w:val="none"/>
            </w:rPr>
            <w:t>投标文件格式</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_Toc3527 \h </w:instrText>
          </w:r>
          <w:r>
            <w:rPr>
              <w:color w:val="auto"/>
              <w:sz w:val="30"/>
              <w:szCs w:val="30"/>
              <w:highlight w:val="none"/>
            </w:rPr>
            <w:fldChar w:fldCharType="separate"/>
          </w:r>
          <w:r>
            <w:rPr>
              <w:color w:val="auto"/>
              <w:sz w:val="30"/>
              <w:szCs w:val="30"/>
              <w:highlight w:val="none"/>
            </w:rPr>
            <w:t>- 93 -</w:t>
          </w:r>
          <w:r>
            <w:rPr>
              <w:color w:val="auto"/>
              <w:sz w:val="30"/>
              <w:szCs w:val="30"/>
              <w:highlight w:val="none"/>
            </w:rPr>
            <w:fldChar w:fldCharType="end"/>
          </w:r>
          <w:r>
            <w:rPr>
              <w:color w:val="auto"/>
              <w:sz w:val="30"/>
              <w:szCs w:val="30"/>
              <w:highlight w:val="none"/>
            </w:rPr>
            <w:fldChar w:fldCharType="end"/>
          </w:r>
        </w:p>
        <w:p w14:paraId="21C5025F">
          <w:pPr>
            <w:pStyle w:val="13"/>
            <w:tabs>
              <w:tab w:val="right" w:leader="dot" w:pos="9071"/>
            </w:tabs>
            <w:rPr>
              <w:color w:val="auto"/>
              <w:sz w:val="30"/>
              <w:szCs w:val="30"/>
              <w:highlight w:val="none"/>
            </w:rPr>
          </w:pPr>
        </w:p>
        <w:p w14:paraId="3BB5A9CC">
          <w:pPr>
            <w:spacing w:line="600" w:lineRule="auto"/>
            <w:rPr>
              <w:rFonts w:ascii="宋体" w:hAnsi="宋体" w:cs="宋体"/>
              <w:b/>
              <w:bCs/>
              <w:color w:val="auto"/>
              <w:sz w:val="32"/>
              <w:szCs w:val="28"/>
              <w:highlight w:val="none"/>
            </w:rPr>
          </w:pPr>
          <w:r>
            <w:rPr>
              <w:color w:val="auto"/>
              <w:sz w:val="30"/>
              <w:szCs w:val="30"/>
              <w:highlight w:val="none"/>
            </w:rPr>
            <w:fldChar w:fldCharType="end"/>
          </w:r>
        </w:p>
      </w:sdtContent>
    </w:sdt>
    <w:p w14:paraId="3D16C8EF">
      <w:pPr>
        <w:pStyle w:val="2"/>
        <w:rPr>
          <w:color w:val="auto"/>
          <w:highlight w:val="none"/>
        </w:rPr>
      </w:pPr>
      <w:r>
        <w:rPr>
          <w:rFonts w:hint="eastAsia" w:ascii="宋体" w:hAnsi="宋体" w:cs="宋体"/>
          <w:color w:val="auto"/>
          <w:highlight w:val="none"/>
        </w:rPr>
        <w:br w:type="page"/>
      </w:r>
      <w:bookmarkStart w:id="0" w:name="_Toc21866"/>
      <w:bookmarkStart w:id="1" w:name="_Toc24353"/>
      <w:r>
        <w:rPr>
          <w:rFonts w:hint="eastAsia"/>
          <w:color w:val="auto"/>
          <w:highlight w:val="none"/>
        </w:rPr>
        <w:t xml:space="preserve">第一章 </w:t>
      </w:r>
      <w:r>
        <w:rPr>
          <w:rFonts w:hint="eastAsia"/>
          <w:color w:val="auto"/>
          <w:highlight w:val="none"/>
          <w:lang w:val="en-US" w:eastAsia="zh-CN"/>
        </w:rPr>
        <w:t xml:space="preserve"> </w:t>
      </w:r>
      <w:r>
        <w:rPr>
          <w:rFonts w:hint="eastAsia"/>
          <w:color w:val="auto"/>
          <w:highlight w:val="none"/>
        </w:rPr>
        <w:t>招标公告</w:t>
      </w:r>
      <w:bookmarkEnd w:id="0"/>
      <w:bookmarkEnd w:id="1"/>
    </w:p>
    <w:p w14:paraId="76D645BA">
      <w:pPr>
        <w:wordWrap w:val="0"/>
        <w:topLinePunct/>
        <w:adjustRightInd w:val="0"/>
        <w:snapToGrid w:val="0"/>
        <w:spacing w:line="360" w:lineRule="auto"/>
        <w:ind w:firstLine="560" w:firstLineChars="200"/>
        <w:jc w:val="left"/>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lang w:eastAsia="zh-CN"/>
        </w:rPr>
        <w:t>灵宝市城市管理局灵宝市生活垃圾分类收运设备及环卫车辆更新项目（设备车辆购置第一批）项目</w:t>
      </w:r>
      <w:r>
        <w:rPr>
          <w:rFonts w:hint="eastAsia" w:asciiTheme="minorEastAsia" w:hAnsiTheme="minorEastAsia" w:eastAsiaTheme="minorEastAsia" w:cstheme="minorEastAsia"/>
          <w:bCs/>
          <w:color w:val="auto"/>
          <w:sz w:val="28"/>
          <w:szCs w:val="28"/>
          <w:highlight w:val="none"/>
        </w:rPr>
        <w:t>的潜在投标供应商凭CA登录三门峡市公共资源交易中心网（网址：http://gzjy.smx.gov.cn/）获取招标文件，并于</w:t>
      </w:r>
      <w:r>
        <w:rPr>
          <w:rFonts w:hint="eastAsia" w:asciiTheme="minorEastAsia" w:hAnsiTheme="minorEastAsia" w:eastAsiaTheme="minorEastAsia" w:cstheme="minorEastAsia"/>
          <w:bCs/>
          <w:color w:val="auto"/>
          <w:sz w:val="28"/>
          <w:szCs w:val="28"/>
          <w:highlight w:val="none"/>
          <w:lang w:eastAsia="zh-CN"/>
        </w:rPr>
        <w:t>2025年12月12日08时30分</w:t>
      </w:r>
      <w:r>
        <w:rPr>
          <w:rFonts w:hint="eastAsia" w:asciiTheme="minorEastAsia" w:hAnsiTheme="minorEastAsia" w:eastAsiaTheme="minorEastAsia" w:cstheme="minorEastAsia"/>
          <w:bCs/>
          <w:color w:val="auto"/>
          <w:sz w:val="28"/>
          <w:szCs w:val="28"/>
          <w:highlight w:val="none"/>
        </w:rPr>
        <w:t>（北京时间）前递交投标文件。</w:t>
      </w:r>
    </w:p>
    <w:p w14:paraId="5AB692CC">
      <w:pPr>
        <w:wordWrap w:val="0"/>
        <w:topLinePunct/>
        <w:adjustRightInd w:val="0"/>
        <w:snapToGrid w:val="0"/>
        <w:spacing w:line="360" w:lineRule="auto"/>
        <w:ind w:firstLine="560" w:firstLineChars="200"/>
        <w:jc w:val="left"/>
        <w:outlineLvl w:val="0"/>
        <w:rPr>
          <w:rFonts w:hint="eastAsia" w:asciiTheme="minorEastAsia" w:hAnsiTheme="minorEastAsia" w:eastAsiaTheme="minorEastAsia" w:cstheme="minorEastAsia"/>
          <w:bCs/>
          <w:color w:val="auto"/>
          <w:sz w:val="28"/>
          <w:szCs w:val="28"/>
          <w:highlight w:val="none"/>
        </w:rPr>
      </w:pPr>
      <w:bookmarkStart w:id="2" w:name="_Toc26243"/>
      <w:r>
        <w:rPr>
          <w:rFonts w:hint="eastAsia" w:asciiTheme="minorEastAsia" w:hAnsiTheme="minorEastAsia" w:eastAsiaTheme="minorEastAsia" w:cstheme="minorEastAsia"/>
          <w:bCs/>
          <w:color w:val="auto"/>
          <w:sz w:val="28"/>
          <w:szCs w:val="28"/>
          <w:highlight w:val="none"/>
        </w:rPr>
        <w:t>一、项目基本情况</w:t>
      </w:r>
      <w:bookmarkEnd w:id="2"/>
    </w:p>
    <w:p w14:paraId="62A65DBE">
      <w:pPr>
        <w:wordWrap w:val="0"/>
        <w:topLinePunct/>
        <w:adjustRightInd w:val="0"/>
        <w:snapToGrid w:val="0"/>
        <w:spacing w:line="360" w:lineRule="auto"/>
        <w:ind w:firstLine="560" w:firstLineChars="200"/>
        <w:jc w:val="left"/>
        <w:rPr>
          <w:rFonts w:hint="eastAsia" w:asciiTheme="minorEastAsia" w:hAnsiTheme="minorEastAsia" w:eastAsiaTheme="minorEastAsia" w:cstheme="minorEastAsia"/>
          <w:bCs/>
          <w:color w:val="auto"/>
          <w:sz w:val="28"/>
          <w:szCs w:val="28"/>
          <w:highlight w:val="none"/>
          <w:lang w:eastAsia="zh-CN"/>
        </w:rPr>
      </w:pPr>
      <w:r>
        <w:rPr>
          <w:rFonts w:hint="eastAsia" w:asciiTheme="minorEastAsia" w:hAnsiTheme="minorEastAsia" w:eastAsiaTheme="minorEastAsia" w:cstheme="minorEastAsia"/>
          <w:bCs/>
          <w:color w:val="auto"/>
          <w:sz w:val="28"/>
          <w:szCs w:val="28"/>
          <w:highlight w:val="none"/>
        </w:rPr>
        <w:t>1、项目名称：</w:t>
      </w:r>
      <w:r>
        <w:rPr>
          <w:rFonts w:hint="eastAsia" w:asciiTheme="minorEastAsia" w:hAnsiTheme="minorEastAsia" w:eastAsiaTheme="minorEastAsia" w:cstheme="minorEastAsia"/>
          <w:bCs/>
          <w:color w:val="auto"/>
          <w:sz w:val="28"/>
          <w:szCs w:val="28"/>
          <w:highlight w:val="none"/>
          <w:lang w:eastAsia="zh-CN"/>
        </w:rPr>
        <w:t>灵宝市城市管理局灵宝市生活垃圾分类收运设备及环卫车辆更新项目（设备车辆购置第一批）项目</w:t>
      </w:r>
    </w:p>
    <w:p w14:paraId="699F4948">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bCs/>
          <w:color w:val="auto"/>
          <w:sz w:val="28"/>
          <w:szCs w:val="28"/>
          <w:highlight w:val="none"/>
        </w:rPr>
        <w:t>项目编号：灵宝公开采购-2025-72</w:t>
      </w:r>
    </w:p>
    <w:p w14:paraId="5D647BAF">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3、采购方式：公开招标</w:t>
      </w:r>
    </w:p>
    <w:p w14:paraId="3E1F97B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4、最高限价：4912.6万元</w:t>
      </w:r>
    </w:p>
    <w:tbl>
      <w:tblPr>
        <w:tblStyle w:val="16"/>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465"/>
        <w:gridCol w:w="3635"/>
        <w:gridCol w:w="1831"/>
        <w:gridCol w:w="2192"/>
      </w:tblGrid>
      <w:tr w14:paraId="5018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465" w:type="dxa"/>
            <w:noWrap w:val="0"/>
            <w:tcMar>
              <w:top w:w="0" w:type="dxa"/>
              <w:left w:w="108" w:type="dxa"/>
              <w:bottom w:w="0" w:type="dxa"/>
              <w:right w:w="108" w:type="dxa"/>
            </w:tcMar>
            <w:vAlign w:val="center"/>
          </w:tcPr>
          <w:p w14:paraId="4A9BA78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包号</w:t>
            </w:r>
          </w:p>
        </w:tc>
        <w:tc>
          <w:tcPr>
            <w:tcW w:w="3635" w:type="dxa"/>
            <w:noWrap w:val="0"/>
            <w:tcMar>
              <w:top w:w="0" w:type="dxa"/>
              <w:left w:w="108" w:type="dxa"/>
              <w:bottom w:w="0" w:type="dxa"/>
              <w:right w:w="108" w:type="dxa"/>
            </w:tcMar>
            <w:vAlign w:val="center"/>
          </w:tcPr>
          <w:p w14:paraId="5EE9DC7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包名称</w:t>
            </w:r>
          </w:p>
        </w:tc>
        <w:tc>
          <w:tcPr>
            <w:tcW w:w="1831" w:type="dxa"/>
            <w:noWrap w:val="0"/>
            <w:tcMar>
              <w:top w:w="0" w:type="dxa"/>
              <w:left w:w="108" w:type="dxa"/>
              <w:bottom w:w="0" w:type="dxa"/>
              <w:right w:w="108" w:type="dxa"/>
            </w:tcMar>
            <w:vAlign w:val="center"/>
          </w:tcPr>
          <w:p w14:paraId="0032C5E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包预算（元）</w:t>
            </w:r>
          </w:p>
        </w:tc>
        <w:tc>
          <w:tcPr>
            <w:tcW w:w="2192" w:type="dxa"/>
            <w:noWrap w:val="0"/>
            <w:tcMar>
              <w:top w:w="0" w:type="dxa"/>
              <w:left w:w="108" w:type="dxa"/>
              <w:bottom w:w="0" w:type="dxa"/>
              <w:right w:w="108" w:type="dxa"/>
            </w:tcMar>
            <w:vAlign w:val="center"/>
          </w:tcPr>
          <w:p w14:paraId="3F62639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包最高限价（元）</w:t>
            </w:r>
          </w:p>
        </w:tc>
      </w:tr>
      <w:tr w14:paraId="7272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465" w:type="dxa"/>
            <w:noWrap w:val="0"/>
            <w:tcMar>
              <w:top w:w="0" w:type="dxa"/>
              <w:left w:w="108" w:type="dxa"/>
              <w:bottom w:w="0" w:type="dxa"/>
              <w:right w:w="108" w:type="dxa"/>
            </w:tcMar>
            <w:vAlign w:val="center"/>
          </w:tcPr>
          <w:p w14:paraId="67044C6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LBGZ[2025]319-ZC240-1</w:t>
            </w:r>
          </w:p>
        </w:tc>
        <w:tc>
          <w:tcPr>
            <w:tcW w:w="3635" w:type="dxa"/>
            <w:noWrap w:val="0"/>
            <w:tcMar>
              <w:top w:w="0" w:type="dxa"/>
              <w:left w:w="108" w:type="dxa"/>
              <w:bottom w:w="0" w:type="dxa"/>
              <w:right w:w="108" w:type="dxa"/>
            </w:tcMar>
            <w:vAlign w:val="center"/>
          </w:tcPr>
          <w:p w14:paraId="0DFF295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灵宝市城市管理局灵宝市生活垃圾分类收运设备及环卫车辆更新项目（设备车辆购置第一批）项目一标段</w:t>
            </w:r>
          </w:p>
        </w:tc>
        <w:tc>
          <w:tcPr>
            <w:tcW w:w="1831" w:type="dxa"/>
            <w:noWrap w:val="0"/>
            <w:tcMar>
              <w:top w:w="0" w:type="dxa"/>
              <w:left w:w="108" w:type="dxa"/>
              <w:bottom w:w="0" w:type="dxa"/>
              <w:right w:w="108" w:type="dxa"/>
            </w:tcMar>
            <w:vAlign w:val="center"/>
          </w:tcPr>
          <w:p w14:paraId="6593C36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300万元</w:t>
            </w:r>
          </w:p>
        </w:tc>
        <w:tc>
          <w:tcPr>
            <w:tcW w:w="2192" w:type="dxa"/>
            <w:noWrap w:val="0"/>
            <w:tcMar>
              <w:top w:w="0" w:type="dxa"/>
              <w:left w:w="108" w:type="dxa"/>
              <w:bottom w:w="0" w:type="dxa"/>
              <w:right w:w="108" w:type="dxa"/>
            </w:tcMar>
            <w:vAlign w:val="center"/>
          </w:tcPr>
          <w:p w14:paraId="3980885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lang w:eastAsia="zh-CN"/>
              </w:rPr>
              <w:t>300万元</w:t>
            </w:r>
          </w:p>
        </w:tc>
      </w:tr>
      <w:tr w14:paraId="3B71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465" w:type="dxa"/>
            <w:noWrap w:val="0"/>
            <w:tcMar>
              <w:top w:w="0" w:type="dxa"/>
              <w:left w:w="108" w:type="dxa"/>
              <w:bottom w:w="0" w:type="dxa"/>
              <w:right w:w="108" w:type="dxa"/>
            </w:tcMar>
            <w:vAlign w:val="center"/>
          </w:tcPr>
          <w:p w14:paraId="783B978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LBGZ[2025]319-ZC240-2</w:t>
            </w:r>
          </w:p>
        </w:tc>
        <w:tc>
          <w:tcPr>
            <w:tcW w:w="3635" w:type="dxa"/>
            <w:noWrap w:val="0"/>
            <w:tcMar>
              <w:top w:w="0" w:type="dxa"/>
              <w:left w:w="108" w:type="dxa"/>
              <w:bottom w:w="0" w:type="dxa"/>
              <w:right w:w="108" w:type="dxa"/>
            </w:tcMar>
            <w:vAlign w:val="center"/>
          </w:tcPr>
          <w:p w14:paraId="6C87E8C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灵宝市城市管理局灵宝市生活垃圾分类收运设备及环卫车辆更新项目（设备车辆购置第一批）项目二标段</w:t>
            </w:r>
          </w:p>
        </w:tc>
        <w:tc>
          <w:tcPr>
            <w:tcW w:w="1831" w:type="dxa"/>
            <w:noWrap w:val="0"/>
            <w:tcMar>
              <w:top w:w="0" w:type="dxa"/>
              <w:left w:w="108" w:type="dxa"/>
              <w:bottom w:w="0" w:type="dxa"/>
              <w:right w:w="108" w:type="dxa"/>
            </w:tcMar>
            <w:vAlign w:val="center"/>
          </w:tcPr>
          <w:p w14:paraId="6F488F3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625万元</w:t>
            </w:r>
          </w:p>
        </w:tc>
        <w:tc>
          <w:tcPr>
            <w:tcW w:w="2192" w:type="dxa"/>
            <w:noWrap w:val="0"/>
            <w:tcMar>
              <w:top w:w="0" w:type="dxa"/>
              <w:left w:w="108" w:type="dxa"/>
              <w:bottom w:w="0" w:type="dxa"/>
              <w:right w:w="108" w:type="dxa"/>
            </w:tcMar>
            <w:vAlign w:val="center"/>
          </w:tcPr>
          <w:p w14:paraId="2E9A75B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625万元</w:t>
            </w:r>
          </w:p>
        </w:tc>
      </w:tr>
      <w:tr w14:paraId="483D2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465" w:type="dxa"/>
            <w:noWrap w:val="0"/>
            <w:tcMar>
              <w:top w:w="0" w:type="dxa"/>
              <w:left w:w="108" w:type="dxa"/>
              <w:bottom w:w="0" w:type="dxa"/>
              <w:right w:w="108" w:type="dxa"/>
            </w:tcMar>
            <w:vAlign w:val="center"/>
          </w:tcPr>
          <w:p w14:paraId="545D9D1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inorEastAsia"/>
                <w:i w:val="0"/>
                <w:iCs w:val="0"/>
                <w:caps w:val="0"/>
                <w:color w:val="auto"/>
                <w:spacing w:val="0"/>
                <w:kern w:val="0"/>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rPr>
              <w:t>LBGZ[2025]319-ZC240-3</w:t>
            </w:r>
          </w:p>
        </w:tc>
        <w:tc>
          <w:tcPr>
            <w:tcW w:w="3635" w:type="dxa"/>
            <w:noWrap w:val="0"/>
            <w:tcMar>
              <w:top w:w="0" w:type="dxa"/>
              <w:left w:w="108" w:type="dxa"/>
              <w:bottom w:w="0" w:type="dxa"/>
              <w:right w:w="108" w:type="dxa"/>
            </w:tcMar>
            <w:vAlign w:val="center"/>
          </w:tcPr>
          <w:p w14:paraId="54E06BA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灵宝市城市管理局灵宝市生活垃圾分类收运设备及环卫车辆更新项目（设备车辆购置第一批）项目三标段</w:t>
            </w:r>
          </w:p>
        </w:tc>
        <w:tc>
          <w:tcPr>
            <w:tcW w:w="1831" w:type="dxa"/>
            <w:noWrap w:val="0"/>
            <w:tcMar>
              <w:top w:w="0" w:type="dxa"/>
              <w:left w:w="108" w:type="dxa"/>
              <w:bottom w:w="0" w:type="dxa"/>
              <w:right w:w="108" w:type="dxa"/>
            </w:tcMar>
            <w:vAlign w:val="center"/>
          </w:tcPr>
          <w:p w14:paraId="331D002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1722万元</w:t>
            </w:r>
          </w:p>
        </w:tc>
        <w:tc>
          <w:tcPr>
            <w:tcW w:w="2192" w:type="dxa"/>
            <w:noWrap w:val="0"/>
            <w:tcMar>
              <w:top w:w="0" w:type="dxa"/>
              <w:left w:w="108" w:type="dxa"/>
              <w:bottom w:w="0" w:type="dxa"/>
              <w:right w:w="108" w:type="dxa"/>
            </w:tcMar>
            <w:vAlign w:val="center"/>
          </w:tcPr>
          <w:p w14:paraId="60D9349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1722万元</w:t>
            </w:r>
          </w:p>
        </w:tc>
      </w:tr>
      <w:tr w14:paraId="39D2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465" w:type="dxa"/>
            <w:noWrap w:val="0"/>
            <w:tcMar>
              <w:top w:w="0" w:type="dxa"/>
              <w:left w:w="108" w:type="dxa"/>
              <w:bottom w:w="0" w:type="dxa"/>
              <w:right w:w="108" w:type="dxa"/>
            </w:tcMar>
            <w:vAlign w:val="center"/>
          </w:tcPr>
          <w:p w14:paraId="32E098B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inorEastAsia"/>
                <w:i w:val="0"/>
                <w:iCs w:val="0"/>
                <w:caps w:val="0"/>
                <w:color w:val="auto"/>
                <w:spacing w:val="0"/>
                <w:kern w:val="0"/>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rPr>
              <w:t>LBGZ[2025]319-ZC240-4</w:t>
            </w:r>
          </w:p>
        </w:tc>
        <w:tc>
          <w:tcPr>
            <w:tcW w:w="3635" w:type="dxa"/>
            <w:noWrap w:val="0"/>
            <w:tcMar>
              <w:top w:w="0" w:type="dxa"/>
              <w:left w:w="108" w:type="dxa"/>
              <w:bottom w:w="0" w:type="dxa"/>
              <w:right w:w="108" w:type="dxa"/>
            </w:tcMar>
            <w:vAlign w:val="center"/>
          </w:tcPr>
          <w:p w14:paraId="0E79FBE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灵宝市城市管理局灵宝市生活垃圾分类收运设备及环卫车辆更新项目（设备车辆购置第一批）项目四标段</w:t>
            </w:r>
          </w:p>
        </w:tc>
        <w:tc>
          <w:tcPr>
            <w:tcW w:w="1831" w:type="dxa"/>
            <w:noWrap w:val="0"/>
            <w:tcMar>
              <w:top w:w="0" w:type="dxa"/>
              <w:left w:w="108" w:type="dxa"/>
              <w:bottom w:w="0" w:type="dxa"/>
              <w:right w:w="108" w:type="dxa"/>
            </w:tcMar>
            <w:vAlign w:val="center"/>
          </w:tcPr>
          <w:p w14:paraId="75787F0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2002万元</w:t>
            </w:r>
          </w:p>
        </w:tc>
        <w:tc>
          <w:tcPr>
            <w:tcW w:w="2192" w:type="dxa"/>
            <w:noWrap w:val="0"/>
            <w:tcMar>
              <w:top w:w="0" w:type="dxa"/>
              <w:left w:w="108" w:type="dxa"/>
              <w:bottom w:w="0" w:type="dxa"/>
              <w:right w:w="108" w:type="dxa"/>
            </w:tcMar>
            <w:vAlign w:val="center"/>
          </w:tcPr>
          <w:p w14:paraId="04CDFC4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2002万元</w:t>
            </w:r>
          </w:p>
        </w:tc>
      </w:tr>
      <w:tr w14:paraId="248F0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465" w:type="dxa"/>
            <w:noWrap w:val="0"/>
            <w:tcMar>
              <w:top w:w="0" w:type="dxa"/>
              <w:left w:w="108" w:type="dxa"/>
              <w:bottom w:w="0" w:type="dxa"/>
              <w:right w:w="108" w:type="dxa"/>
            </w:tcMar>
            <w:vAlign w:val="center"/>
          </w:tcPr>
          <w:p w14:paraId="53F5558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inorEastAsia"/>
                <w:i w:val="0"/>
                <w:iCs w:val="0"/>
                <w:caps w:val="0"/>
                <w:color w:val="auto"/>
                <w:spacing w:val="0"/>
                <w:kern w:val="0"/>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rPr>
              <w:t>LBGZ[2025]319-ZC240-5</w:t>
            </w:r>
          </w:p>
        </w:tc>
        <w:tc>
          <w:tcPr>
            <w:tcW w:w="3635" w:type="dxa"/>
            <w:noWrap w:val="0"/>
            <w:tcMar>
              <w:top w:w="0" w:type="dxa"/>
              <w:left w:w="108" w:type="dxa"/>
              <w:bottom w:w="0" w:type="dxa"/>
              <w:right w:w="108" w:type="dxa"/>
            </w:tcMar>
            <w:vAlign w:val="center"/>
          </w:tcPr>
          <w:p w14:paraId="13D4E0F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灵宝市城市管理局灵宝市生活垃圾分类收运设备及环卫车辆更新项目（设备车辆购置第一批）项目五标段</w:t>
            </w:r>
          </w:p>
        </w:tc>
        <w:tc>
          <w:tcPr>
            <w:tcW w:w="1831" w:type="dxa"/>
            <w:noWrap w:val="0"/>
            <w:tcMar>
              <w:top w:w="0" w:type="dxa"/>
              <w:left w:w="108" w:type="dxa"/>
              <w:bottom w:w="0" w:type="dxa"/>
              <w:right w:w="108" w:type="dxa"/>
            </w:tcMar>
            <w:vAlign w:val="center"/>
          </w:tcPr>
          <w:p w14:paraId="06536BB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263.6万元</w:t>
            </w:r>
          </w:p>
        </w:tc>
        <w:tc>
          <w:tcPr>
            <w:tcW w:w="2192" w:type="dxa"/>
            <w:noWrap w:val="0"/>
            <w:tcMar>
              <w:top w:w="0" w:type="dxa"/>
              <w:left w:w="108" w:type="dxa"/>
              <w:bottom w:w="0" w:type="dxa"/>
              <w:right w:w="108" w:type="dxa"/>
            </w:tcMar>
            <w:vAlign w:val="center"/>
          </w:tcPr>
          <w:p w14:paraId="5DE4EC9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263.6万元</w:t>
            </w:r>
          </w:p>
        </w:tc>
      </w:tr>
    </w:tbl>
    <w:p w14:paraId="2ADC254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highlight w:val="none"/>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5、采购需求（包括但不限于标的的名称、数量、简要技术需求或服务要求等）</w:t>
      </w:r>
    </w:p>
    <w:p w14:paraId="4B6C32B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5.1采购内容：本项目为灵宝市城市管理局灵宝市生活垃圾分类收运设备及环卫车辆更新项目（设备车辆购置第一批）项目，主要采购：新能源18吨钩臂车8辆、12吨垃圾收集车6辆、18吨垃圾收集车2辆、18吨深度洗扫车1辆、12吨洗扫车2辆、18吨洗扫车6辆、18吨雾炮车2辆、25吨洒水车2辆、18吨洒水车2辆、18吨洒水车（高压）2辆、18吨吸污车1辆、12方移动压缩箱25套（含喷淋除臭装置15套）、14方高位水平直压式垃圾压缩设备2套；具体采购内容详见第三章项目采购需求。</w:t>
      </w:r>
    </w:p>
    <w:p w14:paraId="79B8059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highlight w:val="none"/>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5.2标段划分：本项目共分为五个标段</w:t>
      </w:r>
    </w:p>
    <w:p w14:paraId="1ACE366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kern w:val="0"/>
          <w:sz w:val="28"/>
          <w:szCs w:val="28"/>
          <w:highlight w:val="none"/>
          <w:u w:val="single"/>
          <w:lang w:val="en-US" w:eastAsia="zh-CN" w:bidi="ar"/>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一标段：采购内容为14方垃圾压缩设备2套，包最高限价300万元</w:t>
      </w:r>
      <w:r>
        <w:rPr>
          <w:rFonts w:hint="eastAsia" w:asciiTheme="minorEastAsia" w:hAnsiTheme="minorEastAsia" w:eastAsiaTheme="minorEastAsia" w:cstheme="minorEastAsia"/>
          <w:i w:val="0"/>
          <w:iCs w:val="0"/>
          <w:caps w:val="0"/>
          <w:color w:val="auto"/>
          <w:spacing w:val="0"/>
          <w:kern w:val="0"/>
          <w:sz w:val="28"/>
          <w:szCs w:val="28"/>
          <w:highlight w:val="none"/>
          <w:u w:val="none"/>
          <w:lang w:val="en-US" w:eastAsia="zh-CN" w:bidi="ar"/>
        </w:rPr>
        <w:t>（具体采购内容及参数要求详见招标文件)</w:t>
      </w:r>
    </w:p>
    <w:p w14:paraId="538254D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kern w:val="0"/>
          <w:sz w:val="28"/>
          <w:szCs w:val="28"/>
          <w:highlight w:val="none"/>
          <w:u w:val="none"/>
          <w:lang w:val="en-US" w:eastAsia="zh-CN" w:bidi="ar"/>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二标段：采购内容为12方垃圾压缩设备25套（含喷淋除臭装置15套），包最高限价625万元（</w:t>
      </w:r>
      <w:r>
        <w:rPr>
          <w:rFonts w:hint="eastAsia" w:asciiTheme="minorEastAsia" w:hAnsiTheme="minorEastAsia" w:eastAsiaTheme="minorEastAsia" w:cstheme="minorEastAsia"/>
          <w:i w:val="0"/>
          <w:iCs w:val="0"/>
          <w:caps w:val="0"/>
          <w:color w:val="auto"/>
          <w:spacing w:val="0"/>
          <w:kern w:val="0"/>
          <w:sz w:val="28"/>
          <w:szCs w:val="28"/>
          <w:highlight w:val="none"/>
          <w:u w:val="none"/>
          <w:lang w:val="en-US" w:eastAsia="zh-CN" w:bidi="ar"/>
        </w:rPr>
        <w:t>具体采购内容及参数要求详见招标文件)</w:t>
      </w:r>
    </w:p>
    <w:p w14:paraId="4EBE4A6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kern w:val="0"/>
          <w:sz w:val="28"/>
          <w:szCs w:val="28"/>
          <w:highlight w:val="none"/>
          <w:u w:val="single"/>
          <w:lang w:val="en-US" w:eastAsia="zh-CN" w:bidi="ar"/>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三标段：采购内容为18吨勾臂车8辆、12吨压缩收集车6辆、18吨压缩收集车2辆，包最高限价1722万元</w:t>
      </w:r>
      <w:r>
        <w:rPr>
          <w:rFonts w:hint="eastAsia" w:asciiTheme="minorEastAsia" w:hAnsiTheme="minorEastAsia" w:eastAsiaTheme="minorEastAsia" w:cstheme="minorEastAsia"/>
          <w:i w:val="0"/>
          <w:iCs w:val="0"/>
          <w:caps w:val="0"/>
          <w:color w:val="auto"/>
          <w:spacing w:val="0"/>
          <w:kern w:val="0"/>
          <w:sz w:val="28"/>
          <w:szCs w:val="28"/>
          <w:highlight w:val="none"/>
          <w:u w:val="none"/>
          <w:lang w:val="en-US" w:eastAsia="zh-CN" w:bidi="ar"/>
        </w:rPr>
        <w:t>（具体采购内容及参数要求详见招标文件)</w:t>
      </w:r>
    </w:p>
    <w:p w14:paraId="6021F58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kern w:val="0"/>
          <w:sz w:val="28"/>
          <w:szCs w:val="28"/>
          <w:highlight w:val="none"/>
          <w:u w:val="none"/>
          <w:lang w:val="en-US" w:eastAsia="zh-CN" w:bidi="ar"/>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四标段：采购内容为12吨洗扫车2辆、18吨洗扫车6辆、18吨雾炮车2辆、25吨洒水车2辆、18吨洒水车2辆、18吨高压清洗车2辆、18吨吸污车2辆，包最高限价2002万元（</w:t>
      </w:r>
      <w:r>
        <w:rPr>
          <w:rFonts w:hint="eastAsia" w:asciiTheme="minorEastAsia" w:hAnsiTheme="minorEastAsia" w:eastAsiaTheme="minorEastAsia" w:cstheme="minorEastAsia"/>
          <w:i w:val="0"/>
          <w:iCs w:val="0"/>
          <w:caps w:val="0"/>
          <w:color w:val="auto"/>
          <w:spacing w:val="0"/>
          <w:kern w:val="0"/>
          <w:sz w:val="28"/>
          <w:szCs w:val="28"/>
          <w:highlight w:val="none"/>
          <w:u w:val="none"/>
          <w:lang w:val="en-US" w:eastAsia="zh-CN" w:bidi="ar"/>
        </w:rPr>
        <w:t>具体采购内容及参数要求详见招标文件)</w:t>
      </w:r>
    </w:p>
    <w:p w14:paraId="4F78981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kern w:val="0"/>
          <w:sz w:val="28"/>
          <w:szCs w:val="28"/>
          <w:highlight w:val="none"/>
          <w:u w:val="single"/>
          <w:lang w:val="en-US" w:eastAsia="zh-CN" w:bidi="ar"/>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五标段：采购内容为18吨深度洗扫车1辆、包最高限价263.6万元</w:t>
      </w:r>
      <w:r>
        <w:rPr>
          <w:rFonts w:hint="eastAsia" w:asciiTheme="minorEastAsia" w:hAnsiTheme="minorEastAsia" w:eastAsiaTheme="minorEastAsia" w:cstheme="minorEastAsia"/>
          <w:i w:val="0"/>
          <w:iCs w:val="0"/>
          <w:caps w:val="0"/>
          <w:color w:val="auto"/>
          <w:spacing w:val="0"/>
          <w:kern w:val="0"/>
          <w:sz w:val="28"/>
          <w:szCs w:val="28"/>
          <w:highlight w:val="none"/>
          <w:u w:val="none"/>
          <w:lang w:val="en-US" w:eastAsia="zh-CN" w:bidi="ar"/>
        </w:rPr>
        <w:t>（具体采购内容及参数要求详见招标文件)</w:t>
      </w:r>
    </w:p>
    <w:p w14:paraId="0BC09124">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5.3</w:t>
      </w:r>
      <w:r>
        <w:rPr>
          <w:rFonts w:hint="eastAsia" w:asciiTheme="minorEastAsia" w:hAnsiTheme="minorEastAsia" w:eastAsiaTheme="minorEastAsia" w:cstheme="minorEastAsia"/>
          <w:color w:val="auto"/>
          <w:sz w:val="28"/>
          <w:szCs w:val="28"/>
          <w:highlight w:val="none"/>
        </w:rPr>
        <w:t>资金来源：财政资金，已落实</w:t>
      </w:r>
    </w:p>
    <w:p w14:paraId="19FF3E30">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5.4</w:t>
      </w:r>
      <w:r>
        <w:rPr>
          <w:rFonts w:hint="eastAsia" w:asciiTheme="minorEastAsia" w:hAnsiTheme="minorEastAsia" w:eastAsiaTheme="minorEastAsia" w:cstheme="minorEastAsia"/>
          <w:color w:val="auto"/>
          <w:sz w:val="28"/>
          <w:szCs w:val="28"/>
          <w:highlight w:val="none"/>
        </w:rPr>
        <w:t>交货期限：</w:t>
      </w:r>
      <w:r>
        <w:rPr>
          <w:rFonts w:hint="eastAsia" w:asciiTheme="minorEastAsia" w:hAnsiTheme="minorEastAsia" w:eastAsiaTheme="minorEastAsia" w:cstheme="minorEastAsia"/>
          <w:color w:val="auto"/>
          <w:sz w:val="28"/>
          <w:szCs w:val="28"/>
          <w:highlight w:val="none"/>
          <w:lang w:eastAsia="zh-CN"/>
        </w:rPr>
        <w:t>自签订合同后45日历天内完成供货、安装及调试</w:t>
      </w:r>
      <w:r>
        <w:rPr>
          <w:rFonts w:hint="eastAsia" w:asciiTheme="minorEastAsia" w:hAnsiTheme="minorEastAsia" w:eastAsiaTheme="minorEastAsia" w:cstheme="minorEastAsia"/>
          <w:color w:val="auto"/>
          <w:sz w:val="28"/>
          <w:szCs w:val="28"/>
          <w:highlight w:val="none"/>
        </w:rPr>
        <w:t>。</w:t>
      </w:r>
    </w:p>
    <w:p w14:paraId="27BE5DE4">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5.5</w:t>
      </w:r>
      <w:r>
        <w:rPr>
          <w:rFonts w:hint="eastAsia" w:asciiTheme="minorEastAsia" w:hAnsiTheme="minorEastAsia" w:eastAsiaTheme="minorEastAsia" w:cstheme="minorEastAsia"/>
          <w:color w:val="auto"/>
          <w:sz w:val="28"/>
          <w:szCs w:val="28"/>
          <w:highlight w:val="none"/>
        </w:rPr>
        <w:t>质量要求：符合国家或行业规定的合格标准。</w:t>
      </w:r>
    </w:p>
    <w:p w14:paraId="2BD596E4">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5.6</w:t>
      </w:r>
      <w:r>
        <w:rPr>
          <w:rFonts w:hint="eastAsia" w:asciiTheme="minorEastAsia" w:hAnsiTheme="minorEastAsia" w:eastAsiaTheme="minorEastAsia" w:cstheme="minorEastAsia"/>
          <w:color w:val="auto"/>
          <w:sz w:val="28"/>
          <w:szCs w:val="28"/>
          <w:highlight w:val="none"/>
        </w:rPr>
        <w:t>质保期：</w:t>
      </w:r>
      <w:r>
        <w:rPr>
          <w:rFonts w:hint="eastAsia" w:asciiTheme="minorEastAsia" w:hAnsiTheme="minorEastAsia" w:eastAsiaTheme="minorEastAsia" w:cstheme="minorEastAsia"/>
          <w:color w:val="auto"/>
          <w:sz w:val="28"/>
          <w:szCs w:val="28"/>
          <w:highlight w:val="none"/>
          <w:lang w:val="en-US" w:eastAsia="zh-CN"/>
        </w:rPr>
        <w:t>一、二标段：质保一年</w:t>
      </w:r>
    </w:p>
    <w:p w14:paraId="4B9890D9">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三、四、五标段：</w:t>
      </w:r>
      <w:r>
        <w:rPr>
          <w:rFonts w:hint="eastAsia" w:asciiTheme="minorEastAsia" w:hAnsiTheme="minorEastAsia" w:eastAsiaTheme="minorEastAsia" w:cstheme="minorEastAsia"/>
          <w:color w:val="auto"/>
          <w:sz w:val="28"/>
          <w:szCs w:val="28"/>
          <w:highlight w:val="none"/>
          <w:lang w:eastAsia="zh-CN"/>
        </w:rPr>
        <w:t>整车质保一年，三电（电池、电机、电控）质保八年或20万公里。</w:t>
      </w:r>
    </w:p>
    <w:p w14:paraId="4929C0D1">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5.7</w:t>
      </w:r>
      <w:r>
        <w:rPr>
          <w:rFonts w:hint="eastAsia" w:asciiTheme="minorEastAsia" w:hAnsiTheme="minorEastAsia" w:eastAsiaTheme="minorEastAsia" w:cstheme="minorEastAsia"/>
          <w:color w:val="auto"/>
          <w:sz w:val="28"/>
          <w:szCs w:val="28"/>
          <w:highlight w:val="none"/>
        </w:rPr>
        <w:t>交货地点：采购人指定地点</w:t>
      </w:r>
    </w:p>
    <w:p w14:paraId="4C27204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highlight w:val="none"/>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6、合同履行期限：按合同约定执行。</w:t>
      </w:r>
    </w:p>
    <w:p w14:paraId="4A67507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highlight w:val="none"/>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7、本项目是否接受联合体投标：否</w:t>
      </w:r>
    </w:p>
    <w:p w14:paraId="638FDB3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highlight w:val="none"/>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8、是否接受进口产品：否</w:t>
      </w:r>
    </w:p>
    <w:p w14:paraId="1B1FF95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highlight w:val="none"/>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9、是否专门面向中小企业：否</w:t>
      </w:r>
    </w:p>
    <w:p w14:paraId="5C7B829F">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outlineLvl w:val="0"/>
        <w:rPr>
          <w:rFonts w:hint="eastAsia" w:asciiTheme="minorEastAsia" w:hAnsiTheme="minorEastAsia" w:eastAsiaTheme="minorEastAsia" w:cstheme="minorEastAsia"/>
          <w:color w:val="auto"/>
          <w:sz w:val="28"/>
          <w:szCs w:val="28"/>
          <w:highlight w:val="none"/>
        </w:rPr>
      </w:pPr>
      <w:bookmarkStart w:id="3" w:name="_Toc24791"/>
      <w:r>
        <w:rPr>
          <w:rFonts w:hint="eastAsia" w:asciiTheme="minorEastAsia" w:hAnsiTheme="minorEastAsia" w:eastAsiaTheme="minorEastAsia" w:cstheme="minorEastAsia"/>
          <w:color w:val="auto"/>
          <w:sz w:val="28"/>
          <w:szCs w:val="28"/>
          <w:highlight w:val="none"/>
        </w:rPr>
        <w:t>二、投标供应商资格要求：</w:t>
      </w:r>
      <w:bookmarkEnd w:id="3"/>
    </w:p>
    <w:p w14:paraId="77E847FB">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1、符合《中华人民共和国政府采购法》第二十二条规定条件（提供相关证明资料或承诺书）；</w:t>
      </w:r>
    </w:p>
    <w:p w14:paraId="397F39F4">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lang w:val="en-US" w:eastAsia="zh-CN"/>
        </w:rPr>
        <w:t>2</w:t>
      </w:r>
      <w:r>
        <w:rPr>
          <w:rFonts w:hint="eastAsia" w:asciiTheme="minorEastAsia" w:hAnsiTheme="minorEastAsia" w:eastAsiaTheme="minorEastAsia" w:cstheme="minorEastAsia"/>
          <w:bCs/>
          <w:color w:val="auto"/>
          <w:sz w:val="28"/>
          <w:szCs w:val="28"/>
          <w:highlight w:val="none"/>
        </w:rPr>
        <w:t>、落实政府采购政策要求：本项目支持中小型企业发展政策（残疾人福利性企业、监狱企业视同小微企业）、优先采购节能环保产品等政府采购政策。</w:t>
      </w:r>
    </w:p>
    <w:p w14:paraId="18FF495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val="0"/>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bCs/>
          <w:i w:val="0"/>
          <w:iCs w:val="0"/>
          <w:caps w:val="0"/>
          <w:color w:val="auto"/>
          <w:spacing w:val="0"/>
          <w:sz w:val="28"/>
          <w:szCs w:val="28"/>
          <w:highlight w:val="none"/>
        </w:rPr>
      </w:pPr>
      <w:r>
        <w:rPr>
          <w:rFonts w:hint="eastAsia" w:asciiTheme="minorEastAsia" w:hAnsiTheme="minorEastAsia" w:eastAsiaTheme="minorEastAsia" w:cstheme="minorEastAsia"/>
          <w:bCs/>
          <w:i w:val="0"/>
          <w:iCs w:val="0"/>
          <w:caps w:val="0"/>
          <w:color w:val="auto"/>
          <w:spacing w:val="0"/>
          <w:kern w:val="2"/>
          <w:sz w:val="28"/>
          <w:szCs w:val="28"/>
          <w:highlight w:val="none"/>
          <w:lang w:val="en-US" w:eastAsia="zh-CN" w:bidi="ar"/>
        </w:rPr>
        <w:t>3、本项目的特定资格要求</w:t>
      </w:r>
    </w:p>
    <w:p w14:paraId="12C7BEB3">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i w:val="0"/>
          <w:iCs w:val="0"/>
          <w:caps w:val="0"/>
          <w:color w:val="auto"/>
          <w:spacing w:val="0"/>
          <w:kern w:val="2"/>
          <w:sz w:val="28"/>
          <w:szCs w:val="28"/>
          <w:highlight w:val="none"/>
          <w:lang w:val="en-US" w:eastAsia="zh-CN" w:bidi="ar"/>
        </w:rPr>
        <w:t>3.1</w:t>
      </w:r>
      <w:r>
        <w:rPr>
          <w:rFonts w:hint="eastAsia" w:asciiTheme="minorEastAsia" w:hAnsiTheme="minorEastAsia" w:eastAsiaTheme="minorEastAsia" w:cstheme="minorEastAsia"/>
          <w:bCs/>
          <w:color w:val="auto"/>
          <w:sz w:val="28"/>
          <w:szCs w:val="28"/>
          <w:highlight w:val="none"/>
        </w:rPr>
        <w:t>投标供应商须具有独立法人资格</w:t>
      </w:r>
      <w:r>
        <w:rPr>
          <w:rFonts w:hint="eastAsia" w:asciiTheme="minorEastAsia" w:hAnsiTheme="minorEastAsia" w:eastAsiaTheme="minorEastAsia" w:cstheme="minorEastAsia"/>
          <w:color w:val="auto"/>
          <w:sz w:val="28"/>
          <w:szCs w:val="28"/>
          <w:highlight w:val="none"/>
        </w:rPr>
        <w:t>，同时具有有效的营业执照、税务登记证、组织机构代码证或三证合一的营业执照；</w:t>
      </w:r>
    </w:p>
    <w:p w14:paraId="7EDB6F52">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w:t>
      </w: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color w:val="auto"/>
          <w:sz w:val="28"/>
          <w:szCs w:val="28"/>
          <w:highlight w:val="none"/>
        </w:rPr>
        <w:t>投标</w:t>
      </w:r>
      <w:r>
        <w:rPr>
          <w:rFonts w:hint="eastAsia" w:asciiTheme="minorEastAsia" w:hAnsiTheme="minorEastAsia" w:eastAsiaTheme="minorEastAsia" w:cstheme="minorEastAsia"/>
          <w:bCs/>
          <w:color w:val="auto"/>
          <w:sz w:val="28"/>
          <w:szCs w:val="28"/>
          <w:highlight w:val="none"/>
        </w:rPr>
        <w:t>供应商应具有履行合同所必须的设备、人员和专业技术能力（承诺书格式自拟）；</w:t>
      </w:r>
    </w:p>
    <w:p w14:paraId="473AC45E">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3.3</w:t>
      </w:r>
      <w:r>
        <w:rPr>
          <w:rFonts w:hint="eastAsia" w:asciiTheme="minorEastAsia" w:hAnsiTheme="minorEastAsia" w:eastAsiaTheme="minorEastAsia" w:cstheme="minorEastAsia"/>
          <w:color w:val="auto"/>
          <w:sz w:val="28"/>
          <w:szCs w:val="28"/>
          <w:highlight w:val="none"/>
        </w:rPr>
        <w:t>投标供应商自成立以来无商业贿赂及无不正当竞争行为（提供承诺书，</w:t>
      </w:r>
      <w:r>
        <w:rPr>
          <w:rFonts w:hint="eastAsia" w:asciiTheme="minorEastAsia" w:hAnsiTheme="minorEastAsia" w:eastAsiaTheme="minorEastAsia" w:cstheme="minorEastAsia"/>
          <w:bCs/>
          <w:color w:val="auto"/>
          <w:sz w:val="28"/>
          <w:szCs w:val="28"/>
          <w:highlight w:val="none"/>
        </w:rPr>
        <w:t>承诺书格式自拟</w:t>
      </w:r>
      <w:r>
        <w:rPr>
          <w:rFonts w:hint="eastAsia" w:asciiTheme="minorEastAsia" w:hAnsiTheme="minorEastAsia" w:eastAsiaTheme="minorEastAsia" w:cstheme="minorEastAsia"/>
          <w:color w:val="auto"/>
          <w:sz w:val="28"/>
          <w:szCs w:val="28"/>
          <w:highlight w:val="none"/>
        </w:rPr>
        <w:t>）；</w:t>
      </w:r>
    </w:p>
    <w:p w14:paraId="15A36263">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3.4</w:t>
      </w:r>
      <w:r>
        <w:rPr>
          <w:rFonts w:hint="eastAsia" w:asciiTheme="minorEastAsia" w:hAnsiTheme="minorEastAsia" w:eastAsiaTheme="minorEastAsia" w:cstheme="minorEastAsia"/>
          <w:color w:val="auto"/>
          <w:sz w:val="28"/>
          <w:szCs w:val="28"/>
          <w:highlight w:val="none"/>
        </w:rPr>
        <w:t>提供投标供应商企业、法定代表人无行贿犯罪记录，在中国裁判文书网查询（提供公告后网页查询截图）或投标供应商自行承诺；</w:t>
      </w:r>
    </w:p>
    <w:p w14:paraId="6AD0B578">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3.5</w:t>
      </w:r>
      <w:r>
        <w:rPr>
          <w:rFonts w:hint="eastAsia" w:asciiTheme="minorEastAsia" w:hAnsiTheme="minorEastAsia" w:eastAsiaTheme="minorEastAsia" w:cstheme="minorEastAsia"/>
          <w:color w:val="auto"/>
          <w:sz w:val="28"/>
          <w:szCs w:val="28"/>
          <w:highlight w:val="none"/>
        </w:rPr>
        <w:t>单位负责人为同一人或者存在控股、管理关系的不同单位，不得同时参加本项目政府采购活动（投标文件内附加盖供投标应商公章的“</w:t>
      </w:r>
      <w:r>
        <w:rPr>
          <w:rFonts w:hint="eastAsia" w:asciiTheme="minorEastAsia" w:hAnsiTheme="minorEastAsia" w:eastAsiaTheme="minorEastAsia" w:cstheme="minorEastAsia"/>
          <w:color w:val="auto"/>
          <w:sz w:val="28"/>
          <w:szCs w:val="28"/>
          <w:highlight w:val="none"/>
          <w:lang w:eastAsia="zh-CN"/>
        </w:rPr>
        <w:t>国家企业信用信息公示系统</w:t>
      </w:r>
      <w:r>
        <w:rPr>
          <w:rFonts w:hint="eastAsia" w:asciiTheme="minorEastAsia" w:hAnsiTheme="minorEastAsia" w:eastAsiaTheme="minorEastAsia" w:cstheme="minorEastAsia"/>
          <w:color w:val="auto"/>
          <w:sz w:val="28"/>
          <w:szCs w:val="28"/>
          <w:highlight w:val="none"/>
        </w:rPr>
        <w:t>”中公示的公司信息、股东或投资人信息）；</w:t>
      </w:r>
    </w:p>
    <w:p w14:paraId="768044A6">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3.6</w:t>
      </w:r>
      <w:r>
        <w:rPr>
          <w:rFonts w:hint="eastAsia" w:asciiTheme="minorEastAsia" w:hAnsiTheme="minorEastAsia" w:eastAsiaTheme="minorEastAsia" w:cstheme="minorEastAsia"/>
          <w:color w:val="auto"/>
          <w:sz w:val="28"/>
          <w:szCs w:val="28"/>
          <w:highlight w:val="none"/>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相关网页查询页截图，查询时间为本项目公告发布之后；</w:t>
      </w:r>
    </w:p>
    <w:p w14:paraId="14A047A3">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3.7</w:t>
      </w:r>
      <w:r>
        <w:rPr>
          <w:rFonts w:hint="eastAsia" w:asciiTheme="minorEastAsia" w:hAnsiTheme="minorEastAsia" w:eastAsiaTheme="minorEastAsia" w:cstheme="minorEastAsia"/>
          <w:color w:val="auto"/>
          <w:sz w:val="28"/>
          <w:szCs w:val="28"/>
          <w:highlight w:val="none"/>
        </w:rPr>
        <w:t>本项目不接受联合体投标。</w:t>
      </w:r>
    </w:p>
    <w:p w14:paraId="3D8A5029">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color w:val="auto"/>
          <w:sz w:val="28"/>
          <w:szCs w:val="28"/>
          <w:highlight w:val="none"/>
        </w:rPr>
        <w:t>注：</w:t>
      </w:r>
      <w:r>
        <w:rPr>
          <w:rFonts w:hint="eastAsia" w:asciiTheme="minorEastAsia" w:hAnsiTheme="minorEastAsia" w:eastAsiaTheme="minorEastAsia" w:cstheme="minorEastAsia"/>
          <w:color w:val="auto"/>
          <w:sz w:val="28"/>
          <w:szCs w:val="28"/>
          <w:highlight w:val="none"/>
          <w:lang w:eastAsia="zh-CN"/>
        </w:rPr>
        <w:t>本次招标投标人可以参与多个标段</w:t>
      </w:r>
      <w:r>
        <w:rPr>
          <w:rFonts w:hint="eastAsia" w:asciiTheme="minorEastAsia" w:hAnsiTheme="minorEastAsia" w:eastAsiaTheme="minorEastAsia" w:cstheme="minorEastAsia"/>
          <w:color w:val="auto"/>
          <w:sz w:val="28"/>
          <w:szCs w:val="28"/>
          <w:highlight w:val="none"/>
        </w:rPr>
        <w:t>，但最多只能中一个标段。在投标时如果某一中标候选人在多个标段均排名第一，取排序靠前的标段为该投标人的中标标段，其他标段的中标候选人按排名次序递补。</w:t>
      </w:r>
    </w:p>
    <w:p w14:paraId="771B8C13">
      <w:pPr>
        <w:keepNext w:val="0"/>
        <w:keepLines w:val="0"/>
        <w:pageBreakBefore w:val="0"/>
        <w:widowControl w:val="0"/>
        <w:kinsoku/>
        <w:wordWrap w:val="0"/>
        <w:overflowPunct/>
        <w:topLinePunct/>
        <w:autoSpaceDE/>
        <w:autoSpaceDN/>
        <w:bidi w:val="0"/>
        <w:adjustRightInd w:val="0"/>
        <w:snapToGrid w:val="0"/>
        <w:spacing w:line="360" w:lineRule="auto"/>
        <w:ind w:firstLine="562" w:firstLineChars="200"/>
        <w:jc w:val="left"/>
        <w:textAlignment w:val="auto"/>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温馨提醒：本项目为资格后审，资格审查的具体要求见招标文件。</w:t>
      </w:r>
    </w:p>
    <w:p w14:paraId="78972A3D">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outlineLvl w:val="0"/>
        <w:rPr>
          <w:rFonts w:hint="eastAsia" w:asciiTheme="minorEastAsia" w:hAnsiTheme="minorEastAsia" w:eastAsiaTheme="minorEastAsia" w:cstheme="minorEastAsia"/>
          <w:color w:val="auto"/>
          <w:sz w:val="28"/>
          <w:szCs w:val="28"/>
          <w:highlight w:val="none"/>
        </w:rPr>
      </w:pPr>
      <w:bookmarkStart w:id="4" w:name="_Toc11444"/>
      <w:r>
        <w:rPr>
          <w:rFonts w:hint="eastAsia" w:asciiTheme="minorEastAsia" w:hAnsiTheme="minorEastAsia" w:eastAsiaTheme="minorEastAsia" w:cstheme="minorEastAsia"/>
          <w:color w:val="auto"/>
          <w:sz w:val="28"/>
          <w:szCs w:val="28"/>
          <w:highlight w:val="none"/>
        </w:rPr>
        <w:t>三、获取招标文件：</w:t>
      </w:r>
      <w:bookmarkEnd w:id="4"/>
    </w:p>
    <w:p w14:paraId="5A41D839">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1、时间：202</w:t>
      </w:r>
      <w:r>
        <w:rPr>
          <w:rFonts w:hint="eastAsia" w:asciiTheme="minorEastAsia" w:hAnsiTheme="minorEastAsia" w:eastAsiaTheme="minorEastAsia" w:cstheme="minorEastAsia"/>
          <w:color w:val="auto"/>
          <w:sz w:val="28"/>
          <w:szCs w:val="28"/>
          <w:highlight w:val="none"/>
          <w:lang w:val="en-US" w:eastAsia="zh-CN"/>
        </w:rPr>
        <w:t>5</w:t>
      </w:r>
      <w:r>
        <w:rPr>
          <w:rFonts w:hint="eastAsia" w:asciiTheme="minorEastAsia" w:hAnsiTheme="minorEastAsia" w:eastAsiaTheme="minorEastAsia" w:cstheme="minorEastAsia"/>
          <w:color w:val="auto"/>
          <w:sz w:val="28"/>
          <w:szCs w:val="28"/>
          <w:highlight w:val="none"/>
        </w:rPr>
        <w:t>年1</w:t>
      </w: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lang w:val="en-US" w:eastAsia="zh-CN"/>
        </w:rPr>
        <w:t>21</w:t>
      </w:r>
      <w:r>
        <w:rPr>
          <w:rFonts w:hint="eastAsia" w:asciiTheme="minorEastAsia" w:hAnsiTheme="minorEastAsia" w:eastAsiaTheme="minorEastAsia" w:cstheme="minorEastAsia"/>
          <w:color w:val="auto"/>
          <w:sz w:val="28"/>
          <w:szCs w:val="28"/>
          <w:highlight w:val="none"/>
        </w:rPr>
        <w:t>日至</w:t>
      </w:r>
      <w:r>
        <w:rPr>
          <w:rFonts w:hint="eastAsia" w:asciiTheme="minorEastAsia" w:hAnsiTheme="minorEastAsia" w:eastAsiaTheme="minorEastAsia" w:cstheme="minorEastAsia"/>
          <w:color w:val="auto"/>
          <w:sz w:val="28"/>
          <w:szCs w:val="28"/>
          <w:highlight w:val="none"/>
          <w:lang w:eastAsia="zh-CN"/>
        </w:rPr>
        <w:t>2025年12月12日08时30分</w:t>
      </w:r>
      <w:r>
        <w:rPr>
          <w:rFonts w:hint="eastAsia" w:asciiTheme="minorEastAsia" w:hAnsiTheme="minorEastAsia" w:eastAsiaTheme="minorEastAsia" w:cstheme="minorEastAsia"/>
          <w:color w:val="auto"/>
          <w:sz w:val="28"/>
          <w:szCs w:val="28"/>
          <w:highlight w:val="none"/>
        </w:rPr>
        <w:t>（北京时间，法定节假日、双休日除外）</w:t>
      </w:r>
    </w:p>
    <w:p w14:paraId="0FCD997A">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2、地点：三门峡市公共资源交易中心网（网址：http://gzjy.smx.gov.cn）；</w:t>
      </w:r>
    </w:p>
    <w:p w14:paraId="6D379668">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方式：凡有意参加的投标人，须完成市场主体信息库登记并取得CA数字证书，凭CA数字证书登录三门峡市公共资源交易中心网，点击交易平台选择“市场主体登录”，在所参与项目右侧点击参与投标，即可直接下载本项目采购文件（采购文件中包含清单等投标所需一切内容）。具体操作请查看以下链接：</w:t>
      </w:r>
    </w:p>
    <w:p w14:paraId="5DF006E2">
      <w:pPr>
        <w:wordWrap w:val="0"/>
        <w:topLinePunct/>
        <w:adjustRightInd w:val="0"/>
        <w:snapToGrid w:val="0"/>
        <w:spacing w:line="360" w:lineRule="auto"/>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三门峡市公共资源交易平台操作手册：http://gzjy.smx.gov.cn/bzzx/008001/20200325/1d4d9bd4-82a2-4284-b2f7-428c4c69ef58.html</w:t>
      </w:r>
    </w:p>
    <w:p w14:paraId="37A9296D">
      <w:pPr>
        <w:wordWrap w:val="0"/>
        <w:topLinePunct/>
        <w:adjustRightInd w:val="0"/>
        <w:snapToGrid w:val="0"/>
        <w:spacing w:line="360" w:lineRule="auto"/>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办理CA证书：http://gzjy.smx.gov.cn/bzzx/008001/20211105/57b16af9-ab87-4395-a723-7758c628a3f8.html</w:t>
      </w:r>
    </w:p>
    <w:p w14:paraId="1E9326AB">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根据《关于进一步加强公共资源交易管理持续优化营商环境的通知》（三公管办[2020]2号）文件的要求，采购文件费用不再收取。</w:t>
      </w:r>
    </w:p>
    <w:p w14:paraId="27C98AF1">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outlineLvl w:val="0"/>
        <w:rPr>
          <w:rFonts w:hint="eastAsia" w:asciiTheme="minorEastAsia" w:hAnsiTheme="minorEastAsia" w:eastAsiaTheme="minorEastAsia" w:cstheme="minorEastAsia"/>
          <w:color w:val="auto"/>
          <w:sz w:val="28"/>
          <w:szCs w:val="28"/>
          <w:highlight w:val="none"/>
        </w:rPr>
      </w:pPr>
      <w:bookmarkStart w:id="5" w:name="_Toc3457"/>
      <w:r>
        <w:rPr>
          <w:rFonts w:hint="eastAsia" w:asciiTheme="minorEastAsia" w:hAnsiTheme="minorEastAsia" w:eastAsiaTheme="minorEastAsia" w:cstheme="minorEastAsia"/>
          <w:color w:val="auto"/>
          <w:sz w:val="28"/>
          <w:szCs w:val="28"/>
          <w:highlight w:val="none"/>
        </w:rPr>
        <w:t>四、投标截止时间及地点：</w:t>
      </w:r>
      <w:bookmarkEnd w:id="5"/>
    </w:p>
    <w:p w14:paraId="0994A4DA">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1、时间：</w:t>
      </w:r>
      <w:r>
        <w:rPr>
          <w:rFonts w:hint="eastAsia" w:asciiTheme="minorEastAsia" w:hAnsiTheme="minorEastAsia" w:eastAsiaTheme="minorEastAsia" w:cstheme="minorEastAsia"/>
          <w:color w:val="auto"/>
          <w:sz w:val="28"/>
          <w:szCs w:val="28"/>
          <w:highlight w:val="none"/>
          <w:lang w:eastAsia="zh-CN"/>
        </w:rPr>
        <w:t>2025年12月12日08时30分</w:t>
      </w:r>
      <w:r>
        <w:rPr>
          <w:rFonts w:hint="eastAsia" w:asciiTheme="minorEastAsia" w:hAnsiTheme="minorEastAsia" w:eastAsiaTheme="minorEastAsia" w:cstheme="minorEastAsia"/>
          <w:color w:val="auto"/>
          <w:sz w:val="28"/>
          <w:szCs w:val="28"/>
          <w:highlight w:val="none"/>
        </w:rPr>
        <w:t>（北京时间），逾期上传递交投标文件的，采购人不予受理。</w:t>
      </w:r>
    </w:p>
    <w:p w14:paraId="09E2219F">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2、地点：在三门峡市公共资源交易中心网中上传加密投标文件。</w:t>
      </w:r>
    </w:p>
    <w:p w14:paraId="0C671E2B">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outlineLvl w:val="0"/>
        <w:rPr>
          <w:rFonts w:hint="eastAsia" w:asciiTheme="minorEastAsia" w:hAnsiTheme="minorEastAsia" w:eastAsiaTheme="minorEastAsia" w:cstheme="minorEastAsia"/>
          <w:color w:val="auto"/>
          <w:sz w:val="28"/>
          <w:szCs w:val="28"/>
          <w:highlight w:val="none"/>
        </w:rPr>
      </w:pPr>
      <w:bookmarkStart w:id="6" w:name="_Toc32535"/>
      <w:r>
        <w:rPr>
          <w:rFonts w:hint="eastAsia" w:asciiTheme="minorEastAsia" w:hAnsiTheme="minorEastAsia" w:eastAsiaTheme="minorEastAsia" w:cstheme="minorEastAsia"/>
          <w:color w:val="auto"/>
          <w:sz w:val="28"/>
          <w:szCs w:val="28"/>
          <w:highlight w:val="none"/>
        </w:rPr>
        <w:t>五、开标时间及地点：</w:t>
      </w:r>
      <w:bookmarkEnd w:id="6"/>
    </w:p>
    <w:p w14:paraId="7FD71350">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1、开标时间：</w:t>
      </w:r>
      <w:r>
        <w:rPr>
          <w:rFonts w:hint="eastAsia" w:asciiTheme="minorEastAsia" w:hAnsiTheme="minorEastAsia" w:eastAsiaTheme="minorEastAsia" w:cstheme="minorEastAsia"/>
          <w:color w:val="auto"/>
          <w:sz w:val="28"/>
          <w:szCs w:val="28"/>
          <w:highlight w:val="none"/>
          <w:lang w:eastAsia="zh-CN"/>
        </w:rPr>
        <w:t>2025年12月12日08时30分</w:t>
      </w:r>
      <w:r>
        <w:rPr>
          <w:rFonts w:hint="eastAsia" w:asciiTheme="minorEastAsia" w:hAnsiTheme="minorEastAsia" w:eastAsiaTheme="minorEastAsia" w:cstheme="minorEastAsia"/>
          <w:color w:val="auto"/>
          <w:sz w:val="28"/>
          <w:szCs w:val="28"/>
          <w:highlight w:val="none"/>
        </w:rPr>
        <w:t>（北京时间）</w:t>
      </w:r>
    </w:p>
    <w:p w14:paraId="2EFB500D">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2、开标地点：</w:t>
      </w:r>
      <w:r>
        <w:rPr>
          <w:rFonts w:hint="eastAsia" w:asciiTheme="minorEastAsia" w:hAnsiTheme="minorEastAsia" w:eastAsiaTheme="minorEastAsia" w:cstheme="minorEastAsia"/>
          <w:bCs/>
          <w:color w:val="auto"/>
          <w:sz w:val="28"/>
          <w:szCs w:val="28"/>
          <w:highlight w:val="none"/>
        </w:rPr>
        <w:t>灵宝市公共资源交易中心</w:t>
      </w:r>
      <w:r>
        <w:rPr>
          <w:rFonts w:hint="eastAsia" w:asciiTheme="minorEastAsia" w:hAnsiTheme="minorEastAsia" w:eastAsiaTheme="minorEastAsia" w:cstheme="minorEastAsia"/>
          <w:bCs/>
          <w:color w:val="auto"/>
          <w:sz w:val="28"/>
          <w:szCs w:val="28"/>
          <w:highlight w:val="none"/>
          <w:lang w:eastAsia="zh-CN"/>
        </w:rPr>
        <w:t>开标一室</w:t>
      </w:r>
      <w:r>
        <w:rPr>
          <w:rFonts w:hint="eastAsia" w:asciiTheme="minorEastAsia" w:hAnsiTheme="minorEastAsia" w:eastAsiaTheme="minorEastAsia" w:cstheme="minorEastAsia"/>
          <w:bCs/>
          <w:color w:val="auto"/>
          <w:sz w:val="28"/>
          <w:szCs w:val="28"/>
          <w:highlight w:val="none"/>
        </w:rPr>
        <w:t>（灵宝市金城大道信用合作联社12楼）</w:t>
      </w:r>
    </w:p>
    <w:p w14:paraId="76690CD6">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3、开标方式：本项目为不见面开标项目</w:t>
      </w:r>
    </w:p>
    <w:p w14:paraId="30DF04D2">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注：本项目为不见面开标项目，开标当日投标人不得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每位投标人的解密时间为开标时间起30分钟内完成。因投标人原因未能解密、解密失败或解密超时的将被拒绝。</w:t>
      </w:r>
    </w:p>
    <w:p w14:paraId="33330A90">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outlineLvl w:val="0"/>
        <w:rPr>
          <w:rFonts w:hint="eastAsia" w:asciiTheme="minorEastAsia" w:hAnsiTheme="minorEastAsia" w:eastAsiaTheme="minorEastAsia" w:cstheme="minorEastAsia"/>
          <w:color w:val="auto"/>
          <w:sz w:val="28"/>
          <w:szCs w:val="28"/>
          <w:highlight w:val="none"/>
        </w:rPr>
      </w:pPr>
      <w:bookmarkStart w:id="7" w:name="_Toc2768"/>
      <w:r>
        <w:rPr>
          <w:rFonts w:hint="eastAsia" w:asciiTheme="minorEastAsia" w:hAnsiTheme="minorEastAsia" w:eastAsiaTheme="minorEastAsia" w:cstheme="minorEastAsia"/>
          <w:color w:val="auto"/>
          <w:sz w:val="28"/>
          <w:szCs w:val="28"/>
          <w:highlight w:val="none"/>
        </w:rPr>
        <w:t>六、发布公告的媒介及招标公告期限</w:t>
      </w:r>
      <w:bookmarkEnd w:id="7"/>
    </w:p>
    <w:p w14:paraId="56A28EF3">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本次招标公告在《河南省政府采购网》、《</w:t>
      </w:r>
      <w:r>
        <w:rPr>
          <w:rFonts w:hint="eastAsia" w:asciiTheme="minorEastAsia" w:hAnsiTheme="minorEastAsia" w:eastAsiaTheme="minorEastAsia" w:cstheme="minorEastAsia"/>
          <w:color w:val="auto"/>
          <w:sz w:val="28"/>
          <w:szCs w:val="28"/>
          <w:highlight w:val="none"/>
          <w:lang w:eastAsia="zh-CN"/>
        </w:rPr>
        <w:t>中国采购与招标网</w:t>
      </w:r>
      <w:r>
        <w:rPr>
          <w:rFonts w:hint="eastAsia" w:asciiTheme="minorEastAsia" w:hAnsiTheme="minorEastAsia" w:eastAsiaTheme="minorEastAsia" w:cstheme="minorEastAsia"/>
          <w:color w:val="auto"/>
          <w:sz w:val="28"/>
          <w:szCs w:val="28"/>
          <w:highlight w:val="none"/>
        </w:rPr>
        <w:t>》、《三门峡市公共资源交易中心网》上同时发布，招标公告期限为五个工作日。</w:t>
      </w:r>
    </w:p>
    <w:p w14:paraId="635ADA8B">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outlineLvl w:val="0"/>
        <w:rPr>
          <w:rFonts w:hint="eastAsia" w:asciiTheme="minorEastAsia" w:hAnsiTheme="minorEastAsia" w:eastAsiaTheme="minorEastAsia" w:cstheme="minorEastAsia"/>
          <w:color w:val="auto"/>
          <w:sz w:val="28"/>
          <w:szCs w:val="28"/>
          <w:highlight w:val="none"/>
        </w:rPr>
      </w:pPr>
      <w:bookmarkStart w:id="8" w:name="_Toc12518"/>
      <w:r>
        <w:rPr>
          <w:rFonts w:hint="eastAsia" w:asciiTheme="minorEastAsia" w:hAnsiTheme="minorEastAsia" w:eastAsiaTheme="minorEastAsia" w:cstheme="minorEastAsia"/>
          <w:color w:val="auto"/>
          <w:sz w:val="28"/>
          <w:szCs w:val="28"/>
          <w:highlight w:val="none"/>
        </w:rPr>
        <w:t>七、其他补充事宜</w:t>
      </w:r>
      <w:bookmarkEnd w:id="8"/>
    </w:p>
    <w:p w14:paraId="6E06FA98">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1、投标人应仔细阅读操作手册，在本公告中要求的截止时间前完成网上投标文件的递交等工作。因投标人操作不当等问题造成的无法下载采购文件、无法投标等一切后果，由投标人自行承担；</w:t>
      </w:r>
    </w:p>
    <w:p w14:paraId="1ABB8F53">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2、根据《河南省财政厅关于优化政府采购营商环境有关问题的通知》（豫财购【2019】4号）第6条的规定，投标保证金不再收取。</w:t>
      </w:r>
    </w:p>
    <w:p w14:paraId="03819176">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3、投标人递交的投标文件不论中标与否均不予退还；</w:t>
      </w:r>
    </w:p>
    <w:p w14:paraId="29F1158B">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4、开标所发生的一切费用由投标人自行承担，并承担相应的风险和责任；</w:t>
      </w:r>
    </w:p>
    <w:p w14:paraId="578F406A">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人承担责任。</w:t>
      </w:r>
    </w:p>
    <w:p w14:paraId="1E3B9E1B">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温馨提示：本项目为电子化、无纸化交易项目，开标时不再接受任何纸质资料，为保证您能投标成功，请需仔细阅读招标文件和三门峡市公共资源交易中心官网业务办理指南。</w:t>
      </w:r>
    </w:p>
    <w:p w14:paraId="7BB49ACE">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outlineLvl w:val="0"/>
        <w:rPr>
          <w:rFonts w:hint="eastAsia" w:asciiTheme="minorEastAsia" w:hAnsiTheme="minorEastAsia" w:eastAsiaTheme="minorEastAsia" w:cstheme="minorEastAsia"/>
          <w:color w:val="auto"/>
          <w:sz w:val="28"/>
          <w:szCs w:val="28"/>
          <w:highlight w:val="none"/>
        </w:rPr>
      </w:pPr>
      <w:bookmarkStart w:id="9" w:name="_Toc25302"/>
      <w:r>
        <w:rPr>
          <w:rFonts w:hint="eastAsia" w:asciiTheme="minorEastAsia" w:hAnsiTheme="minorEastAsia" w:eastAsiaTheme="minorEastAsia" w:cstheme="minorEastAsia"/>
          <w:color w:val="auto"/>
          <w:sz w:val="28"/>
          <w:szCs w:val="28"/>
          <w:highlight w:val="none"/>
        </w:rPr>
        <w:t>八、凡对本次招标提出询问，请按照以下方式联系</w:t>
      </w:r>
      <w:bookmarkEnd w:id="9"/>
    </w:p>
    <w:p w14:paraId="09A9DADE">
      <w:pPr>
        <w:wordWrap w:val="0"/>
        <w:topLinePunct/>
        <w:adjustRightInd w:val="0"/>
        <w:snapToGrid w:val="0"/>
        <w:spacing w:line="360" w:lineRule="auto"/>
        <w:ind w:firstLine="560" w:firstLineChars="200"/>
        <w:jc w:val="left"/>
        <w:outlineLvl w:val="1"/>
        <w:rPr>
          <w:rFonts w:hint="eastAsia" w:asciiTheme="minorEastAsia" w:hAnsiTheme="minorEastAsia" w:eastAsiaTheme="minorEastAsia" w:cstheme="minorEastAsia"/>
          <w:color w:val="auto"/>
          <w:sz w:val="28"/>
          <w:szCs w:val="28"/>
          <w:highlight w:val="none"/>
        </w:rPr>
      </w:pPr>
      <w:bookmarkStart w:id="10" w:name="_Toc8350"/>
      <w:r>
        <w:rPr>
          <w:rFonts w:hint="eastAsia" w:asciiTheme="minorEastAsia" w:hAnsiTheme="minorEastAsia" w:eastAsiaTheme="minorEastAsia" w:cstheme="minorEastAsia"/>
          <w:color w:val="auto"/>
          <w:sz w:val="28"/>
          <w:szCs w:val="28"/>
          <w:highlight w:val="none"/>
        </w:rPr>
        <w:t>1.采购人信息</w:t>
      </w:r>
      <w:bookmarkEnd w:id="10"/>
    </w:p>
    <w:p w14:paraId="091F2783">
      <w:pPr>
        <w:wordWrap w:val="0"/>
        <w:topLinePunct/>
        <w:adjustRightInd w:val="0"/>
        <w:snapToGrid w:val="0"/>
        <w:spacing w:line="360" w:lineRule="auto"/>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名称：灵宝市城市管理局</w:t>
      </w:r>
    </w:p>
    <w:p w14:paraId="1C34EB1D">
      <w:pPr>
        <w:wordWrap w:val="0"/>
        <w:topLinePunct/>
        <w:adjustRightInd w:val="0"/>
        <w:snapToGrid w:val="0"/>
        <w:spacing w:line="360" w:lineRule="auto"/>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地址：河南省灵宝市工业路西路</w:t>
      </w:r>
    </w:p>
    <w:p w14:paraId="569E6DC6">
      <w:pPr>
        <w:wordWrap w:val="0"/>
        <w:topLinePunct/>
        <w:adjustRightInd w:val="0"/>
        <w:snapToGrid w:val="0"/>
        <w:spacing w:line="360" w:lineRule="auto"/>
        <w:ind w:firstLine="560" w:firstLineChars="200"/>
        <w:jc w:val="left"/>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联系人：</w:t>
      </w:r>
      <w:r>
        <w:rPr>
          <w:rFonts w:hint="eastAsia" w:asciiTheme="minorEastAsia" w:hAnsiTheme="minorEastAsia" w:eastAsiaTheme="minorEastAsia" w:cstheme="minorEastAsia"/>
          <w:color w:val="auto"/>
          <w:sz w:val="28"/>
          <w:szCs w:val="28"/>
          <w:highlight w:val="none"/>
          <w:lang w:val="en-US" w:eastAsia="zh-CN"/>
        </w:rPr>
        <w:t>李先生</w:t>
      </w:r>
    </w:p>
    <w:p w14:paraId="0BC8C7DE">
      <w:pPr>
        <w:wordWrap w:val="0"/>
        <w:topLinePunct/>
        <w:adjustRightInd w:val="0"/>
        <w:snapToGrid w:val="0"/>
        <w:spacing w:line="360" w:lineRule="auto"/>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联系方式：0398</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3091260</w:t>
      </w:r>
    </w:p>
    <w:p w14:paraId="7BEFF1FA">
      <w:pPr>
        <w:wordWrap w:val="0"/>
        <w:topLinePunct/>
        <w:adjustRightInd w:val="0"/>
        <w:snapToGrid w:val="0"/>
        <w:spacing w:line="360" w:lineRule="auto"/>
        <w:ind w:firstLine="560" w:firstLineChars="200"/>
        <w:jc w:val="left"/>
        <w:outlineLvl w:val="1"/>
        <w:rPr>
          <w:rFonts w:hint="eastAsia" w:asciiTheme="minorEastAsia" w:hAnsiTheme="minorEastAsia" w:eastAsiaTheme="minorEastAsia" w:cstheme="minorEastAsia"/>
          <w:color w:val="auto"/>
          <w:sz w:val="28"/>
          <w:szCs w:val="28"/>
          <w:highlight w:val="none"/>
        </w:rPr>
      </w:pPr>
      <w:bookmarkStart w:id="11" w:name="_Toc27628"/>
      <w:r>
        <w:rPr>
          <w:rFonts w:hint="eastAsia" w:asciiTheme="minorEastAsia" w:hAnsiTheme="minorEastAsia" w:eastAsiaTheme="minorEastAsia" w:cstheme="minorEastAsia"/>
          <w:color w:val="auto"/>
          <w:sz w:val="28"/>
          <w:szCs w:val="28"/>
          <w:highlight w:val="none"/>
        </w:rPr>
        <w:t>2.采购代理机构信息</w:t>
      </w:r>
      <w:bookmarkEnd w:id="11"/>
    </w:p>
    <w:p w14:paraId="32E1BDF7">
      <w:pPr>
        <w:keepNext w:val="0"/>
        <w:keepLines w:val="0"/>
        <w:widowControl w:val="0"/>
        <w:suppressLineNumbers w:val="0"/>
        <w:pBdr>
          <w:top w:val="none" w:color="auto" w:sz="0" w:space="0"/>
          <w:left w:val="none" w:color="auto" w:sz="0" w:space="0"/>
          <w:bottom w:val="none" w:color="auto" w:sz="0" w:space="0"/>
          <w:right w:val="none" w:color="auto" w:sz="0" w:space="0"/>
        </w:pBdr>
        <w:wordWrap w:val="0"/>
        <w:topLinePunct/>
        <w:adjustRightInd w:val="0"/>
        <w:snapToGrid w:val="0"/>
        <w:spacing w:before="0" w:beforeAutospacing="0" w:after="0" w:afterAutospacing="0" w:line="360" w:lineRule="auto"/>
        <w:ind w:left="0" w:right="0" w:firstLine="560" w:firstLineChars="200"/>
        <w:jc w:val="left"/>
        <w:rPr>
          <w:rFonts w:hint="eastAsia" w:asciiTheme="minorEastAsia" w:hAnsiTheme="minorEastAsia" w:eastAsiaTheme="minorEastAsia" w:cstheme="minorEastAsia"/>
          <w:i w:val="0"/>
          <w:iCs w:val="0"/>
          <w:caps w:val="0"/>
          <w:color w:val="auto"/>
          <w:spacing w:val="0"/>
          <w:sz w:val="28"/>
          <w:szCs w:val="28"/>
          <w:highlight w:val="none"/>
        </w:rPr>
      </w:pPr>
      <w:r>
        <w:rPr>
          <w:rFonts w:hint="eastAsia" w:asciiTheme="minorEastAsia" w:hAnsiTheme="minorEastAsia" w:eastAsiaTheme="minorEastAsia" w:cstheme="minorEastAsia"/>
          <w:color w:val="auto"/>
          <w:sz w:val="28"/>
          <w:szCs w:val="28"/>
          <w:highlight w:val="none"/>
        </w:rPr>
        <w:t>名称：</w:t>
      </w:r>
      <w:r>
        <w:rPr>
          <w:rFonts w:hint="eastAsia" w:asciiTheme="minorEastAsia" w:hAnsiTheme="minorEastAsia" w:eastAsiaTheme="minorEastAsia" w:cstheme="minorEastAsia"/>
          <w:i w:val="0"/>
          <w:iCs w:val="0"/>
          <w:caps w:val="0"/>
          <w:color w:val="auto"/>
          <w:spacing w:val="0"/>
          <w:kern w:val="2"/>
          <w:sz w:val="28"/>
          <w:szCs w:val="28"/>
          <w:highlight w:val="none"/>
          <w:lang w:val="en-US" w:eastAsia="zh-CN" w:bidi="ar"/>
        </w:rPr>
        <w:t>红城国际工程项目管理有限公司</w:t>
      </w:r>
    </w:p>
    <w:p w14:paraId="6A99CBA0">
      <w:pPr>
        <w:keepNext w:val="0"/>
        <w:keepLines w:val="0"/>
        <w:widowControl w:val="0"/>
        <w:suppressLineNumbers w:val="0"/>
        <w:pBdr>
          <w:top w:val="none" w:color="auto" w:sz="0" w:space="0"/>
          <w:left w:val="none" w:color="auto" w:sz="0" w:space="0"/>
          <w:bottom w:val="none" w:color="auto" w:sz="0" w:space="0"/>
          <w:right w:val="none" w:color="auto" w:sz="0" w:space="0"/>
        </w:pBdr>
        <w:wordWrap w:val="0"/>
        <w:topLinePunct/>
        <w:adjustRightInd w:val="0"/>
        <w:snapToGrid w:val="0"/>
        <w:spacing w:before="0" w:beforeAutospacing="0" w:after="0" w:afterAutospacing="0" w:line="360" w:lineRule="auto"/>
        <w:ind w:left="0" w:right="0" w:firstLine="560" w:firstLineChars="200"/>
        <w:jc w:val="left"/>
        <w:rPr>
          <w:rFonts w:hint="eastAsia" w:asciiTheme="minorEastAsia" w:hAnsiTheme="minorEastAsia" w:eastAsiaTheme="minorEastAsia" w:cstheme="minorEastAsia"/>
          <w:i w:val="0"/>
          <w:iCs w:val="0"/>
          <w:caps w:val="0"/>
          <w:color w:val="auto"/>
          <w:spacing w:val="0"/>
          <w:sz w:val="28"/>
          <w:szCs w:val="28"/>
          <w:highlight w:val="none"/>
        </w:rPr>
      </w:pPr>
      <w:r>
        <w:rPr>
          <w:rFonts w:hint="eastAsia" w:asciiTheme="minorEastAsia" w:hAnsiTheme="minorEastAsia" w:eastAsiaTheme="minorEastAsia" w:cstheme="minorEastAsia"/>
          <w:i w:val="0"/>
          <w:iCs w:val="0"/>
          <w:caps w:val="0"/>
          <w:color w:val="auto"/>
          <w:spacing w:val="0"/>
          <w:kern w:val="2"/>
          <w:sz w:val="28"/>
          <w:szCs w:val="28"/>
          <w:highlight w:val="none"/>
          <w:lang w:val="en-US" w:eastAsia="zh-CN" w:bidi="ar"/>
        </w:rPr>
        <w:t>地址：陕西省西安市高新区高新六路21号万象汇6幢1单元7层</w:t>
      </w:r>
    </w:p>
    <w:p w14:paraId="0ECBE632">
      <w:pPr>
        <w:keepNext w:val="0"/>
        <w:keepLines w:val="0"/>
        <w:widowControl w:val="0"/>
        <w:suppressLineNumbers w:val="0"/>
        <w:pBdr>
          <w:top w:val="none" w:color="auto" w:sz="0" w:space="0"/>
          <w:left w:val="none" w:color="auto" w:sz="0" w:space="0"/>
          <w:bottom w:val="none" w:color="auto" w:sz="0" w:space="0"/>
          <w:right w:val="none" w:color="auto" w:sz="0" w:space="0"/>
        </w:pBdr>
        <w:wordWrap w:val="0"/>
        <w:topLinePunct/>
        <w:adjustRightInd w:val="0"/>
        <w:snapToGrid w:val="0"/>
        <w:spacing w:before="0" w:beforeAutospacing="0" w:after="0" w:afterAutospacing="0" w:line="360" w:lineRule="auto"/>
        <w:ind w:left="0" w:right="0" w:firstLine="560" w:firstLineChars="200"/>
        <w:jc w:val="left"/>
        <w:rPr>
          <w:rFonts w:hint="eastAsia" w:asciiTheme="minorEastAsia" w:hAnsiTheme="minorEastAsia" w:eastAsiaTheme="minorEastAsia" w:cstheme="minorEastAsia"/>
          <w:i w:val="0"/>
          <w:iCs w:val="0"/>
          <w:caps w:val="0"/>
          <w:color w:val="auto"/>
          <w:spacing w:val="0"/>
          <w:sz w:val="28"/>
          <w:szCs w:val="28"/>
          <w:highlight w:val="none"/>
        </w:rPr>
      </w:pPr>
      <w:r>
        <w:rPr>
          <w:rFonts w:hint="eastAsia" w:asciiTheme="minorEastAsia" w:hAnsiTheme="minorEastAsia" w:eastAsiaTheme="minorEastAsia" w:cstheme="minorEastAsia"/>
          <w:i w:val="0"/>
          <w:iCs w:val="0"/>
          <w:caps w:val="0"/>
          <w:color w:val="auto"/>
          <w:spacing w:val="0"/>
          <w:kern w:val="2"/>
          <w:sz w:val="28"/>
          <w:szCs w:val="28"/>
          <w:highlight w:val="none"/>
          <w:lang w:val="en-US" w:eastAsia="zh-CN" w:bidi="ar"/>
        </w:rPr>
        <w:t>联系人：方女士</w:t>
      </w:r>
    </w:p>
    <w:p w14:paraId="58E3FEAD">
      <w:pPr>
        <w:wordWrap w:val="0"/>
        <w:topLinePunct/>
        <w:adjustRightInd w:val="0"/>
        <w:snapToGrid w:val="0"/>
        <w:spacing w:line="360" w:lineRule="auto"/>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aps w:val="0"/>
          <w:color w:val="auto"/>
          <w:spacing w:val="0"/>
          <w:kern w:val="2"/>
          <w:sz w:val="28"/>
          <w:szCs w:val="28"/>
          <w:highlight w:val="none"/>
          <w:lang w:val="en-US" w:eastAsia="zh-CN" w:bidi="ar"/>
        </w:rPr>
        <w:t>联系方式：18539804364</w:t>
      </w:r>
    </w:p>
    <w:p w14:paraId="27F3A355">
      <w:pPr>
        <w:wordWrap w:val="0"/>
        <w:topLinePunct/>
        <w:adjustRightInd w:val="0"/>
        <w:snapToGrid w:val="0"/>
        <w:spacing w:line="360" w:lineRule="auto"/>
        <w:ind w:firstLine="560" w:firstLineChars="200"/>
        <w:jc w:val="left"/>
        <w:outlineLvl w:val="1"/>
        <w:rPr>
          <w:rFonts w:hint="eastAsia" w:asciiTheme="minorEastAsia" w:hAnsiTheme="minorEastAsia" w:eastAsiaTheme="minorEastAsia" w:cstheme="minorEastAsia"/>
          <w:color w:val="auto"/>
          <w:sz w:val="28"/>
          <w:szCs w:val="28"/>
          <w:highlight w:val="none"/>
        </w:rPr>
      </w:pPr>
      <w:bookmarkStart w:id="12" w:name="_Toc15813"/>
      <w:r>
        <w:rPr>
          <w:rFonts w:hint="eastAsia" w:asciiTheme="minorEastAsia" w:hAnsiTheme="minorEastAsia" w:eastAsiaTheme="minorEastAsia" w:cstheme="minorEastAsia"/>
          <w:color w:val="auto"/>
          <w:sz w:val="28"/>
          <w:szCs w:val="28"/>
          <w:highlight w:val="none"/>
        </w:rPr>
        <w:t>3.监督单位信息</w:t>
      </w:r>
      <w:bookmarkEnd w:id="12"/>
    </w:p>
    <w:p w14:paraId="08C833E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val="0"/>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kern w:val="2"/>
          <w:sz w:val="28"/>
          <w:szCs w:val="28"/>
          <w:highlight w:val="none"/>
          <w:lang w:val="en-US" w:eastAsia="zh-CN" w:bidi="ar"/>
        </w:rPr>
      </w:pPr>
      <w:r>
        <w:rPr>
          <w:rFonts w:hint="eastAsia" w:asciiTheme="minorEastAsia" w:hAnsiTheme="minorEastAsia" w:eastAsiaTheme="minorEastAsia" w:cstheme="minorEastAsia"/>
          <w:i w:val="0"/>
          <w:iCs w:val="0"/>
          <w:caps w:val="0"/>
          <w:color w:val="auto"/>
          <w:spacing w:val="0"/>
          <w:kern w:val="2"/>
          <w:sz w:val="28"/>
          <w:szCs w:val="28"/>
          <w:highlight w:val="none"/>
          <w:lang w:val="en-US" w:eastAsia="zh-CN" w:bidi="ar"/>
        </w:rPr>
        <w:t>监督单位：灵宝市财政局政府采购监督管理科</w:t>
      </w:r>
    </w:p>
    <w:p w14:paraId="29E3CD9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val="0"/>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kern w:val="2"/>
          <w:sz w:val="28"/>
          <w:szCs w:val="28"/>
          <w:highlight w:val="none"/>
          <w:lang w:val="en-US" w:eastAsia="zh-CN" w:bidi="ar"/>
        </w:rPr>
      </w:pPr>
      <w:r>
        <w:rPr>
          <w:rFonts w:hint="eastAsia" w:asciiTheme="minorEastAsia" w:hAnsiTheme="minorEastAsia" w:eastAsiaTheme="minorEastAsia" w:cstheme="minorEastAsia"/>
          <w:i w:val="0"/>
          <w:iCs w:val="0"/>
          <w:caps w:val="0"/>
          <w:color w:val="auto"/>
          <w:spacing w:val="0"/>
          <w:kern w:val="2"/>
          <w:sz w:val="28"/>
          <w:szCs w:val="28"/>
          <w:highlight w:val="none"/>
          <w:lang w:val="en-US" w:eastAsia="zh-CN" w:bidi="ar"/>
        </w:rPr>
        <w:t>联系方式：0398-8852670</w:t>
      </w:r>
    </w:p>
    <w:p w14:paraId="74261E70">
      <w:pPr>
        <w:wordWrap w:val="0"/>
        <w:topLinePunct/>
        <w:adjustRightInd w:val="0"/>
        <w:snapToGrid w:val="0"/>
        <w:spacing w:line="360" w:lineRule="auto"/>
        <w:ind w:firstLine="560" w:firstLineChars="200"/>
        <w:jc w:val="left"/>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监督单位：</w:t>
      </w:r>
      <w:r>
        <w:rPr>
          <w:rFonts w:hint="eastAsia" w:asciiTheme="minorEastAsia" w:hAnsiTheme="minorEastAsia" w:eastAsiaTheme="minorEastAsia" w:cstheme="minorEastAsia"/>
          <w:color w:val="auto"/>
          <w:sz w:val="28"/>
          <w:szCs w:val="28"/>
          <w:highlight w:val="none"/>
          <w:lang w:val="en-US" w:eastAsia="zh-CN"/>
        </w:rPr>
        <w:t>中共</w:t>
      </w:r>
      <w:r>
        <w:rPr>
          <w:rFonts w:hint="eastAsia" w:asciiTheme="minorEastAsia" w:hAnsiTheme="minorEastAsia" w:eastAsiaTheme="minorEastAsia" w:cstheme="minorEastAsia"/>
          <w:color w:val="auto"/>
          <w:sz w:val="28"/>
          <w:szCs w:val="28"/>
          <w:highlight w:val="none"/>
        </w:rPr>
        <w:t>灵宝市城市管理局</w:t>
      </w:r>
      <w:r>
        <w:rPr>
          <w:rFonts w:hint="eastAsia" w:asciiTheme="minorEastAsia" w:hAnsiTheme="minorEastAsia" w:eastAsiaTheme="minorEastAsia" w:cstheme="minorEastAsia"/>
          <w:color w:val="auto"/>
          <w:sz w:val="28"/>
          <w:szCs w:val="28"/>
          <w:highlight w:val="none"/>
          <w:lang w:val="en-US" w:eastAsia="zh-CN"/>
        </w:rPr>
        <w:t>党组</w:t>
      </w:r>
    </w:p>
    <w:p w14:paraId="39F71E87">
      <w:pPr>
        <w:wordWrap w:val="0"/>
        <w:topLinePunct/>
        <w:adjustRightInd w:val="0"/>
        <w:snapToGrid w:val="0"/>
        <w:spacing w:line="360" w:lineRule="auto"/>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联系方式：0398</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2121333</w:t>
      </w:r>
    </w:p>
    <w:p w14:paraId="48A85193">
      <w:pPr>
        <w:adjustRightInd w:val="0"/>
        <w:snapToGrid w:val="0"/>
        <w:spacing w:line="360" w:lineRule="auto"/>
        <w:rPr>
          <w:rFonts w:ascii="宋体" w:hAnsi="宋体" w:cs="宋体"/>
          <w:bCs/>
          <w:color w:val="auto"/>
          <w:sz w:val="24"/>
          <w:szCs w:val="24"/>
          <w:highlight w:val="none"/>
        </w:rPr>
      </w:pPr>
    </w:p>
    <w:p w14:paraId="41408457">
      <w:pPr>
        <w:pStyle w:val="2"/>
        <w:bidi w:val="0"/>
        <w:rPr>
          <w:rFonts w:ascii="宋体" w:hAnsi="宋体" w:cs="宋体"/>
          <w:b/>
          <w:color w:val="auto"/>
          <w:highlight w:val="none"/>
        </w:rPr>
      </w:pPr>
      <w:r>
        <w:rPr>
          <w:rFonts w:ascii="宋体" w:hAnsi="宋体" w:cs="宋体"/>
          <w:bCs/>
          <w:color w:val="auto"/>
          <w:szCs w:val="24"/>
          <w:highlight w:val="none"/>
        </w:rPr>
        <w:br w:type="page"/>
      </w:r>
      <w:bookmarkStart w:id="13" w:name="_Toc6843180"/>
      <w:bookmarkStart w:id="14" w:name="_Toc5205"/>
      <w:bookmarkStart w:id="15" w:name="_Toc6584"/>
      <w:r>
        <w:rPr>
          <w:rFonts w:hint="eastAsia"/>
          <w:color w:val="auto"/>
          <w:highlight w:val="none"/>
        </w:rPr>
        <w:t xml:space="preserve">第二章 </w:t>
      </w:r>
      <w:r>
        <w:rPr>
          <w:rFonts w:hint="eastAsia"/>
          <w:color w:val="auto"/>
          <w:highlight w:val="none"/>
          <w:lang w:val="en-US" w:eastAsia="zh-CN"/>
        </w:rPr>
        <w:t xml:space="preserve"> </w:t>
      </w:r>
      <w:r>
        <w:rPr>
          <w:rFonts w:hint="eastAsia"/>
          <w:color w:val="auto"/>
          <w:highlight w:val="none"/>
        </w:rPr>
        <w:t>供应商须知</w:t>
      </w:r>
      <w:bookmarkEnd w:id="13"/>
      <w:bookmarkEnd w:id="14"/>
      <w:bookmarkEnd w:id="15"/>
    </w:p>
    <w:p w14:paraId="12D16A2F">
      <w:pPr>
        <w:jc w:val="both"/>
        <w:rPr>
          <w:rFonts w:ascii="宋体" w:hAnsi="宋体" w:cs="宋体"/>
          <w:b/>
          <w:color w:val="auto"/>
          <w:sz w:val="28"/>
          <w:szCs w:val="28"/>
          <w:highlight w:val="none"/>
        </w:rPr>
      </w:pPr>
      <w:r>
        <w:rPr>
          <w:rFonts w:hint="eastAsia" w:ascii="宋体" w:hAnsi="宋体" w:cs="宋体"/>
          <w:b/>
          <w:color w:val="auto"/>
          <w:sz w:val="28"/>
          <w:szCs w:val="28"/>
          <w:highlight w:val="none"/>
        </w:rPr>
        <w:t>供应商须知前附表</w:t>
      </w:r>
    </w:p>
    <w:tbl>
      <w:tblPr>
        <w:tblStyle w:val="16"/>
        <w:tblW w:w="9634" w:type="dxa"/>
        <w:jc w:val="center"/>
        <w:tblLayout w:type="fixed"/>
        <w:tblCellMar>
          <w:top w:w="0" w:type="dxa"/>
          <w:left w:w="108" w:type="dxa"/>
          <w:bottom w:w="0" w:type="dxa"/>
          <w:right w:w="108" w:type="dxa"/>
        </w:tblCellMar>
      </w:tblPr>
      <w:tblGrid>
        <w:gridCol w:w="949"/>
        <w:gridCol w:w="1523"/>
        <w:gridCol w:w="7162"/>
      </w:tblGrid>
      <w:tr w14:paraId="36BEB7E5">
        <w:tblPrEx>
          <w:tblCellMar>
            <w:top w:w="0" w:type="dxa"/>
            <w:left w:w="108" w:type="dxa"/>
            <w:bottom w:w="0" w:type="dxa"/>
            <w:right w:w="108" w:type="dxa"/>
          </w:tblCellMar>
        </w:tblPrEx>
        <w:trPr>
          <w:trHeight w:val="218"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201C442">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523" w:type="dxa"/>
            <w:tcBorders>
              <w:top w:val="single" w:color="auto" w:sz="4" w:space="0"/>
              <w:left w:val="single" w:color="auto" w:sz="4" w:space="0"/>
              <w:bottom w:val="single" w:color="auto" w:sz="4" w:space="0"/>
              <w:right w:val="single" w:color="auto" w:sz="4" w:space="0"/>
            </w:tcBorders>
            <w:vAlign w:val="center"/>
          </w:tcPr>
          <w:p w14:paraId="7F3B3D25">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条款名称</w:t>
            </w:r>
          </w:p>
        </w:tc>
        <w:tc>
          <w:tcPr>
            <w:tcW w:w="7162" w:type="dxa"/>
            <w:tcBorders>
              <w:top w:val="single" w:color="auto" w:sz="4" w:space="0"/>
              <w:left w:val="single" w:color="auto" w:sz="4" w:space="0"/>
              <w:bottom w:val="single" w:color="auto" w:sz="4" w:space="0"/>
              <w:right w:val="single" w:color="auto" w:sz="4" w:space="0"/>
            </w:tcBorders>
            <w:vAlign w:val="center"/>
          </w:tcPr>
          <w:p w14:paraId="33A289C7">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  列  内  容</w:t>
            </w:r>
          </w:p>
        </w:tc>
      </w:tr>
      <w:tr w14:paraId="49E4812E">
        <w:tblPrEx>
          <w:tblCellMar>
            <w:top w:w="0" w:type="dxa"/>
            <w:left w:w="108" w:type="dxa"/>
            <w:bottom w:w="0" w:type="dxa"/>
            <w:right w:w="108" w:type="dxa"/>
          </w:tblCellMar>
        </w:tblPrEx>
        <w:trPr>
          <w:trHeight w:val="1941" w:hRule="exact"/>
          <w:jc w:val="center"/>
        </w:trPr>
        <w:tc>
          <w:tcPr>
            <w:tcW w:w="949" w:type="dxa"/>
            <w:tcBorders>
              <w:top w:val="single" w:color="auto" w:sz="4" w:space="0"/>
              <w:left w:val="single" w:color="auto" w:sz="4" w:space="0"/>
              <w:bottom w:val="single" w:color="auto" w:sz="4" w:space="0"/>
              <w:right w:val="single" w:color="auto" w:sz="4" w:space="0"/>
            </w:tcBorders>
            <w:vAlign w:val="center"/>
          </w:tcPr>
          <w:p w14:paraId="2F547B0C">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23" w:type="dxa"/>
            <w:tcBorders>
              <w:top w:val="single" w:color="auto" w:sz="4" w:space="0"/>
              <w:left w:val="single" w:color="auto" w:sz="4" w:space="0"/>
              <w:bottom w:val="single" w:color="auto" w:sz="4" w:space="0"/>
              <w:right w:val="single" w:color="auto" w:sz="4" w:space="0"/>
            </w:tcBorders>
            <w:vAlign w:val="center"/>
          </w:tcPr>
          <w:p w14:paraId="75EA8CD3">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7162" w:type="dxa"/>
            <w:tcBorders>
              <w:top w:val="single" w:color="auto" w:sz="4" w:space="0"/>
              <w:left w:val="single" w:color="auto" w:sz="4" w:space="0"/>
              <w:bottom w:val="single" w:color="auto" w:sz="4" w:space="0"/>
              <w:right w:val="single" w:color="auto" w:sz="4" w:space="0"/>
            </w:tcBorders>
            <w:vAlign w:val="center"/>
          </w:tcPr>
          <w:p w14:paraId="707CC3C9">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名称：灵宝市城市管理局</w:t>
            </w:r>
          </w:p>
          <w:p w14:paraId="557C52C4">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地址：河南省灵宝市工业路西路</w:t>
            </w:r>
          </w:p>
          <w:p w14:paraId="0DEFC28C">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联系人：李先生</w:t>
            </w:r>
          </w:p>
          <w:p w14:paraId="68A60ADA">
            <w:pPr>
              <w:rPr>
                <w:color w:val="auto"/>
                <w:highlight w:val="none"/>
              </w:rPr>
            </w:pPr>
            <w:r>
              <w:rPr>
                <w:rFonts w:hint="eastAsia" w:ascii="宋体" w:hAnsi="宋体" w:eastAsia="宋体" w:cs="宋体"/>
                <w:color w:val="auto"/>
                <w:sz w:val="24"/>
                <w:szCs w:val="24"/>
                <w:highlight w:val="none"/>
              </w:rPr>
              <w:t>联系方式：0398</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3091260</w:t>
            </w:r>
          </w:p>
          <w:p w14:paraId="1EC60024">
            <w:pPr>
              <w:pStyle w:val="14"/>
              <w:keepNext w:val="0"/>
              <w:keepLines w:val="0"/>
              <w:pageBreakBefore w:val="0"/>
              <w:widowControl w:val="0"/>
              <w:kinsoku/>
              <w:wordWrap w:val="0"/>
              <w:overflowPunct/>
              <w:topLinePunct/>
              <w:autoSpaceDE/>
              <w:autoSpaceDN/>
              <w:bidi w:val="0"/>
              <w:spacing w:before="0" w:beforeAutospacing="0" w:after="0" w:line="360" w:lineRule="auto"/>
              <w:ind w:left="0" w:leftChars="0" w:right="0" w:rightChars="0" w:firstLine="0" w:firstLineChars="0"/>
              <w:jc w:val="left"/>
              <w:textAlignment w:val="auto"/>
              <w:rPr>
                <w:rFonts w:hint="eastAsia" w:ascii="宋体" w:hAnsi="宋体" w:eastAsia="宋体" w:cs="宋体"/>
                <w:color w:val="auto"/>
                <w:sz w:val="24"/>
                <w:szCs w:val="24"/>
                <w:highlight w:val="none"/>
              </w:rPr>
            </w:pPr>
          </w:p>
        </w:tc>
      </w:tr>
      <w:tr w14:paraId="0429C428">
        <w:tblPrEx>
          <w:tblCellMar>
            <w:top w:w="0" w:type="dxa"/>
            <w:left w:w="108" w:type="dxa"/>
            <w:bottom w:w="0" w:type="dxa"/>
            <w:right w:w="108" w:type="dxa"/>
          </w:tblCellMar>
        </w:tblPrEx>
        <w:trPr>
          <w:trHeight w:val="263"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14D8840B">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23" w:type="dxa"/>
            <w:tcBorders>
              <w:top w:val="single" w:color="auto" w:sz="4" w:space="0"/>
              <w:left w:val="single" w:color="auto" w:sz="4" w:space="0"/>
              <w:bottom w:val="single" w:color="auto" w:sz="4" w:space="0"/>
              <w:right w:val="single" w:color="auto" w:sz="4" w:space="0"/>
            </w:tcBorders>
            <w:vAlign w:val="center"/>
          </w:tcPr>
          <w:p w14:paraId="37B73235">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代理机构</w:t>
            </w:r>
          </w:p>
        </w:tc>
        <w:tc>
          <w:tcPr>
            <w:tcW w:w="7162" w:type="dxa"/>
            <w:tcBorders>
              <w:top w:val="single" w:color="auto" w:sz="4" w:space="0"/>
              <w:left w:val="single" w:color="auto" w:sz="4" w:space="0"/>
              <w:bottom w:val="single" w:color="auto" w:sz="4" w:space="0"/>
              <w:right w:val="single" w:color="auto" w:sz="4" w:space="0"/>
            </w:tcBorders>
            <w:vAlign w:val="center"/>
          </w:tcPr>
          <w:p w14:paraId="19D8B3F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val="0"/>
              <w:spacing w:before="0" w:beforeAutospacing="0" w:after="0" w:afterAutospacing="0" w:line="360" w:lineRule="auto"/>
              <w:ind w:right="0" w:rightChars="0" w:firstLine="0" w:firstLineChars="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i w:val="0"/>
                <w:iCs w:val="0"/>
                <w:caps w:val="0"/>
                <w:color w:val="auto"/>
                <w:spacing w:val="0"/>
                <w:kern w:val="2"/>
                <w:sz w:val="24"/>
                <w:szCs w:val="24"/>
                <w:highlight w:val="none"/>
                <w:lang w:val="en-US" w:eastAsia="zh-CN" w:bidi="ar"/>
              </w:rPr>
              <w:t>红城国际工程项目管理有限公司</w:t>
            </w:r>
          </w:p>
          <w:p w14:paraId="119E759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val="0"/>
              <w:spacing w:before="0" w:beforeAutospacing="0" w:after="0" w:afterAutospacing="0" w:line="360" w:lineRule="auto"/>
              <w:ind w:right="0" w:rightChars="0" w:firstLine="0" w:firstLineChars="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2"/>
                <w:sz w:val="24"/>
                <w:szCs w:val="24"/>
                <w:highlight w:val="none"/>
                <w:lang w:val="en-US" w:eastAsia="zh-CN" w:bidi="ar"/>
              </w:rPr>
              <w:t>地址：陕西省西安市高新区高新六路21号万象汇6幢1单元7层</w:t>
            </w:r>
          </w:p>
          <w:p w14:paraId="1EA7A95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val="0"/>
              <w:spacing w:before="0" w:beforeAutospacing="0" w:after="0" w:afterAutospacing="0" w:line="360" w:lineRule="auto"/>
              <w:ind w:right="0" w:rightChars="0" w:firstLine="0" w:firstLineChars="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2"/>
                <w:sz w:val="24"/>
                <w:szCs w:val="24"/>
                <w:highlight w:val="none"/>
                <w:lang w:val="en-US" w:eastAsia="zh-CN" w:bidi="ar"/>
              </w:rPr>
              <w:t>联系人：方女士</w:t>
            </w:r>
          </w:p>
          <w:p w14:paraId="2C6CB80F">
            <w:pPr>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2"/>
                <w:sz w:val="24"/>
                <w:szCs w:val="24"/>
                <w:highlight w:val="none"/>
                <w:lang w:val="en-US" w:eastAsia="zh-CN" w:bidi="ar"/>
              </w:rPr>
              <w:t>联系方式：18539804364</w:t>
            </w:r>
          </w:p>
        </w:tc>
      </w:tr>
      <w:tr w14:paraId="27F956F5">
        <w:tblPrEx>
          <w:tblCellMar>
            <w:top w:w="0" w:type="dxa"/>
            <w:left w:w="108" w:type="dxa"/>
            <w:bottom w:w="0" w:type="dxa"/>
            <w:right w:w="108" w:type="dxa"/>
          </w:tblCellMar>
        </w:tblPrEx>
        <w:trPr>
          <w:trHeight w:val="592"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67A23B3">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523" w:type="dxa"/>
            <w:tcBorders>
              <w:top w:val="single" w:color="auto" w:sz="4" w:space="0"/>
              <w:left w:val="single" w:color="auto" w:sz="4" w:space="0"/>
              <w:bottom w:val="single" w:color="auto" w:sz="4" w:space="0"/>
              <w:right w:val="single" w:color="auto" w:sz="4" w:space="0"/>
            </w:tcBorders>
            <w:vAlign w:val="center"/>
          </w:tcPr>
          <w:p w14:paraId="684F83FB">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162" w:type="dxa"/>
            <w:tcBorders>
              <w:top w:val="single" w:color="auto" w:sz="4" w:space="0"/>
              <w:left w:val="single" w:color="auto" w:sz="4" w:space="0"/>
              <w:bottom w:val="single" w:color="auto" w:sz="4" w:space="0"/>
              <w:right w:val="single" w:color="auto" w:sz="4" w:space="0"/>
            </w:tcBorders>
            <w:vAlign w:val="center"/>
          </w:tcPr>
          <w:p w14:paraId="1CE127E2">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pacing w:val="1"/>
                <w:sz w:val="24"/>
                <w:szCs w:val="24"/>
                <w:highlight w:val="none"/>
                <w:lang w:eastAsia="zh-CN"/>
              </w:rPr>
            </w:pPr>
            <w:r>
              <w:rPr>
                <w:rFonts w:hint="eastAsia" w:ascii="宋体" w:hAnsi="宋体" w:cs="宋体"/>
                <w:bCs/>
                <w:color w:val="auto"/>
                <w:sz w:val="24"/>
                <w:szCs w:val="24"/>
                <w:highlight w:val="none"/>
                <w:lang w:eastAsia="zh-CN"/>
              </w:rPr>
              <w:t>灵宝市城市管理局灵宝市生活垃圾分类收运设备及环卫车辆更新项目（设备车辆购置第一批）项目</w:t>
            </w:r>
          </w:p>
        </w:tc>
      </w:tr>
      <w:tr w14:paraId="50AC9592">
        <w:tblPrEx>
          <w:tblCellMar>
            <w:top w:w="0" w:type="dxa"/>
            <w:left w:w="108" w:type="dxa"/>
            <w:bottom w:w="0" w:type="dxa"/>
            <w:right w:w="108" w:type="dxa"/>
          </w:tblCellMar>
        </w:tblPrEx>
        <w:trPr>
          <w:trHeight w:val="468"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4A4AA6C9">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523" w:type="dxa"/>
            <w:tcBorders>
              <w:top w:val="single" w:color="auto" w:sz="4" w:space="0"/>
              <w:left w:val="single" w:color="auto" w:sz="4" w:space="0"/>
              <w:bottom w:val="single" w:color="auto" w:sz="4" w:space="0"/>
              <w:right w:val="single" w:color="auto" w:sz="4" w:space="0"/>
            </w:tcBorders>
            <w:vAlign w:val="center"/>
          </w:tcPr>
          <w:p w14:paraId="335D598D">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p>
        </w:tc>
        <w:tc>
          <w:tcPr>
            <w:tcW w:w="7162" w:type="dxa"/>
            <w:tcBorders>
              <w:top w:val="single" w:color="auto" w:sz="4" w:space="0"/>
              <w:left w:val="single" w:color="auto" w:sz="4" w:space="0"/>
              <w:bottom w:val="single" w:color="auto" w:sz="4" w:space="0"/>
              <w:right w:val="single" w:color="auto" w:sz="4" w:space="0"/>
            </w:tcBorders>
            <w:vAlign w:val="center"/>
          </w:tcPr>
          <w:p w14:paraId="46401FC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right="0" w:rightChars="0" w:firstLine="0" w:firstLineChars="0"/>
              <w:jc w:val="left"/>
              <w:textAlignment w:val="auto"/>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一标段：包最高限价</w:t>
            </w:r>
            <w:r>
              <w:rPr>
                <w:rFonts w:hint="eastAsia" w:ascii="宋体" w:hAnsi="宋体" w:cs="宋体"/>
                <w:i w:val="0"/>
                <w:iCs w:val="0"/>
                <w:caps w:val="0"/>
                <w:color w:val="auto"/>
                <w:spacing w:val="0"/>
                <w:kern w:val="0"/>
                <w:sz w:val="24"/>
                <w:szCs w:val="24"/>
                <w:highlight w:val="none"/>
                <w:lang w:val="en-US" w:eastAsia="zh-CN" w:bidi="ar"/>
              </w:rPr>
              <w:t>300万元</w:t>
            </w:r>
          </w:p>
          <w:p w14:paraId="639EBEA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right="0" w:rightChars="0" w:firstLine="0" w:firstLineChars="0"/>
              <w:jc w:val="left"/>
              <w:textAlignment w:val="auto"/>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二标段：包最高限价</w:t>
            </w:r>
            <w:r>
              <w:rPr>
                <w:rFonts w:hint="eastAsia" w:ascii="宋体" w:hAnsi="宋体" w:cs="宋体"/>
                <w:i w:val="0"/>
                <w:iCs w:val="0"/>
                <w:caps w:val="0"/>
                <w:color w:val="auto"/>
                <w:spacing w:val="0"/>
                <w:kern w:val="0"/>
                <w:sz w:val="24"/>
                <w:szCs w:val="24"/>
                <w:highlight w:val="none"/>
                <w:lang w:val="en-US" w:eastAsia="zh-CN" w:bidi="ar"/>
              </w:rPr>
              <w:t>625万元</w:t>
            </w:r>
          </w:p>
          <w:p w14:paraId="2C19E62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right="0" w:rightChars="0" w:firstLine="0" w:firstLineChars="0"/>
              <w:jc w:val="left"/>
              <w:textAlignment w:val="auto"/>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三标段：包最高限价</w:t>
            </w:r>
            <w:r>
              <w:rPr>
                <w:rFonts w:hint="eastAsia" w:ascii="宋体" w:hAnsi="宋体" w:cs="宋体"/>
                <w:i w:val="0"/>
                <w:iCs w:val="0"/>
                <w:caps w:val="0"/>
                <w:color w:val="auto"/>
                <w:spacing w:val="0"/>
                <w:kern w:val="0"/>
                <w:sz w:val="24"/>
                <w:szCs w:val="24"/>
                <w:highlight w:val="none"/>
                <w:lang w:val="en-US" w:eastAsia="zh-CN" w:bidi="ar"/>
              </w:rPr>
              <w:t>1722万元</w:t>
            </w:r>
          </w:p>
          <w:p w14:paraId="14E9791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right="0" w:rightChars="0" w:firstLine="0" w:firstLineChars="0"/>
              <w:jc w:val="left"/>
              <w:textAlignment w:val="auto"/>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四标段：包最高限价</w:t>
            </w:r>
            <w:r>
              <w:rPr>
                <w:rFonts w:hint="eastAsia" w:ascii="宋体" w:hAnsi="宋体" w:cs="宋体"/>
                <w:i w:val="0"/>
                <w:iCs w:val="0"/>
                <w:caps w:val="0"/>
                <w:color w:val="auto"/>
                <w:spacing w:val="0"/>
                <w:kern w:val="0"/>
                <w:sz w:val="24"/>
                <w:szCs w:val="24"/>
                <w:highlight w:val="none"/>
                <w:lang w:val="en-US" w:eastAsia="zh-CN" w:bidi="ar"/>
              </w:rPr>
              <w:t>2002万元</w:t>
            </w:r>
          </w:p>
          <w:p w14:paraId="08AB8A0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right="0" w:rightChars="0" w:firstLine="0" w:firstLineChars="0"/>
              <w:jc w:val="left"/>
              <w:textAlignment w:val="auto"/>
              <w:rPr>
                <w:color w:val="auto"/>
                <w:highlight w:val="none"/>
              </w:rPr>
            </w:pPr>
            <w:r>
              <w:rPr>
                <w:rFonts w:hint="eastAsia" w:ascii="宋体" w:hAnsi="宋体" w:eastAsia="宋体" w:cs="宋体"/>
                <w:i w:val="0"/>
                <w:iCs w:val="0"/>
                <w:caps w:val="0"/>
                <w:color w:val="auto"/>
                <w:spacing w:val="0"/>
                <w:kern w:val="0"/>
                <w:sz w:val="24"/>
                <w:szCs w:val="24"/>
                <w:highlight w:val="none"/>
                <w:lang w:val="en-US" w:eastAsia="zh-CN" w:bidi="ar"/>
              </w:rPr>
              <w:t>五标段：包最高限价</w:t>
            </w:r>
            <w:r>
              <w:rPr>
                <w:rFonts w:hint="eastAsia" w:ascii="宋体" w:hAnsi="宋体" w:cs="宋体"/>
                <w:i w:val="0"/>
                <w:iCs w:val="0"/>
                <w:caps w:val="0"/>
                <w:color w:val="auto"/>
                <w:spacing w:val="0"/>
                <w:kern w:val="0"/>
                <w:sz w:val="24"/>
                <w:szCs w:val="24"/>
                <w:highlight w:val="none"/>
                <w:lang w:val="en-US" w:eastAsia="zh-CN" w:bidi="ar"/>
              </w:rPr>
              <w:t>263.6万元</w:t>
            </w:r>
          </w:p>
          <w:p w14:paraId="53510C78">
            <w:pPr>
              <w:pStyle w:val="14"/>
              <w:keepNext w:val="0"/>
              <w:keepLines w:val="0"/>
              <w:pageBreakBefore w:val="0"/>
              <w:widowControl w:val="0"/>
              <w:kinsoku/>
              <w:wordWrap w:val="0"/>
              <w:overflowPunct/>
              <w:topLinePunct/>
              <w:autoSpaceDE/>
              <w:autoSpaceDN/>
              <w:bidi w:val="0"/>
              <w:spacing w:before="0" w:beforeAutospacing="0" w:after="0" w:line="36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凡投标供应商投标报价超出“采购预算价”的，该投标供应商的投标文件应作无效标处理。</w:t>
            </w:r>
          </w:p>
          <w:p w14:paraId="4635BE9C">
            <w:pPr>
              <w:pStyle w:val="15"/>
              <w:ind w:left="0" w:leftChars="0" w:firstLine="0" w:firstLineChars="0"/>
              <w:rPr>
                <w:rFonts w:hint="eastAsia"/>
                <w:color w:val="auto"/>
                <w:highlight w:val="none"/>
              </w:rPr>
            </w:pPr>
            <w:r>
              <w:rPr>
                <w:rFonts w:hint="eastAsia" w:ascii="宋体" w:hAnsi="宋体" w:eastAsia="宋体" w:cs="宋体"/>
                <w:b/>
                <w:bCs/>
                <w:color w:val="auto"/>
                <w:kern w:val="2"/>
                <w:sz w:val="24"/>
                <w:szCs w:val="24"/>
                <w:highlight w:val="none"/>
                <w:lang w:val="en-US" w:eastAsia="zh-CN" w:bidi="ar-SA"/>
              </w:rPr>
              <w:t>只能有一个有效报价且单价、总价均不超过最高限价</w:t>
            </w:r>
          </w:p>
        </w:tc>
      </w:tr>
      <w:tr w14:paraId="171D0015">
        <w:tblPrEx>
          <w:tblCellMar>
            <w:top w:w="0" w:type="dxa"/>
            <w:left w:w="108" w:type="dxa"/>
            <w:bottom w:w="0" w:type="dxa"/>
            <w:right w:w="108" w:type="dxa"/>
          </w:tblCellMar>
        </w:tblPrEx>
        <w:trPr>
          <w:trHeight w:val="468"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295D3C5">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523" w:type="dxa"/>
            <w:tcBorders>
              <w:top w:val="single" w:color="auto" w:sz="4" w:space="0"/>
              <w:left w:val="single" w:color="auto" w:sz="4" w:space="0"/>
              <w:bottom w:val="single" w:color="auto" w:sz="4" w:space="0"/>
              <w:right w:val="single" w:color="auto" w:sz="4" w:space="0"/>
            </w:tcBorders>
            <w:vAlign w:val="center"/>
          </w:tcPr>
          <w:p w14:paraId="6BABB3C2">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资金来源及落实情况</w:t>
            </w:r>
          </w:p>
        </w:tc>
        <w:tc>
          <w:tcPr>
            <w:tcW w:w="7162" w:type="dxa"/>
            <w:tcBorders>
              <w:top w:val="single" w:color="auto" w:sz="4" w:space="0"/>
              <w:left w:val="single" w:color="auto" w:sz="4" w:space="0"/>
              <w:bottom w:val="single" w:color="auto" w:sz="4" w:space="0"/>
              <w:right w:val="single" w:color="auto" w:sz="4" w:space="0"/>
            </w:tcBorders>
            <w:vAlign w:val="center"/>
          </w:tcPr>
          <w:p w14:paraId="39C01B20">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财政资金，已落实</w:t>
            </w:r>
          </w:p>
        </w:tc>
      </w:tr>
      <w:tr w14:paraId="758FBAD4">
        <w:tblPrEx>
          <w:tblCellMar>
            <w:top w:w="0" w:type="dxa"/>
            <w:left w:w="108" w:type="dxa"/>
            <w:bottom w:w="0" w:type="dxa"/>
            <w:right w:w="108" w:type="dxa"/>
          </w:tblCellMar>
        </w:tblPrEx>
        <w:trPr>
          <w:trHeight w:val="468"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146AAB07">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523" w:type="dxa"/>
            <w:tcBorders>
              <w:top w:val="single" w:color="auto" w:sz="4" w:space="0"/>
              <w:left w:val="single" w:color="auto" w:sz="4" w:space="0"/>
              <w:bottom w:val="single" w:color="auto" w:sz="4" w:space="0"/>
              <w:right w:val="single" w:color="auto" w:sz="4" w:space="0"/>
            </w:tcBorders>
            <w:vAlign w:val="center"/>
          </w:tcPr>
          <w:p w14:paraId="0123476A">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采购内容</w:t>
            </w:r>
          </w:p>
        </w:tc>
        <w:tc>
          <w:tcPr>
            <w:tcW w:w="7162" w:type="dxa"/>
            <w:tcBorders>
              <w:top w:val="single" w:color="auto" w:sz="4" w:space="0"/>
              <w:left w:val="single" w:color="auto" w:sz="4" w:space="0"/>
              <w:bottom w:val="single" w:color="auto" w:sz="4" w:space="0"/>
              <w:right w:val="single" w:color="auto" w:sz="4" w:space="0"/>
            </w:tcBorders>
            <w:vAlign w:val="center"/>
          </w:tcPr>
          <w:p w14:paraId="0FDFDE15">
            <w:pPr>
              <w:pBdr>
                <w:top w:val="none" w:color="auto" w:sz="0" w:space="0"/>
                <w:left w:val="none" w:color="auto" w:sz="0" w:space="0"/>
                <w:bottom w:val="none" w:color="auto" w:sz="0" w:space="0"/>
                <w:right w:val="none" w:color="auto" w:sz="0" w:space="0"/>
              </w:pBdr>
              <w:wordWrap w:val="0"/>
              <w:topLinePunct/>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本项目为</w:t>
            </w:r>
            <w:r>
              <w:rPr>
                <w:rFonts w:hint="eastAsia" w:ascii="宋体" w:hAnsi="宋体" w:cs="宋体"/>
                <w:i w:val="0"/>
                <w:iCs w:val="0"/>
                <w:caps w:val="0"/>
                <w:color w:val="auto"/>
                <w:spacing w:val="0"/>
                <w:kern w:val="0"/>
                <w:sz w:val="24"/>
                <w:szCs w:val="24"/>
                <w:highlight w:val="none"/>
                <w:lang w:val="en-US" w:eastAsia="zh-CN" w:bidi="ar"/>
              </w:rPr>
              <w:t>灵宝市城市管理局灵宝市生活垃圾分类收运设备及环卫车辆更新项目（设备车辆购置第一批）项目</w:t>
            </w:r>
            <w:r>
              <w:rPr>
                <w:rFonts w:hint="eastAsia" w:ascii="宋体" w:hAnsi="宋体" w:eastAsia="宋体" w:cs="宋体"/>
                <w:i w:val="0"/>
                <w:iCs w:val="0"/>
                <w:caps w:val="0"/>
                <w:color w:val="auto"/>
                <w:spacing w:val="0"/>
                <w:kern w:val="0"/>
                <w:sz w:val="24"/>
                <w:szCs w:val="24"/>
                <w:highlight w:val="none"/>
                <w:lang w:val="en-US" w:eastAsia="zh-CN" w:bidi="ar"/>
              </w:rPr>
              <w:t>，主要采购：新能源18吨钩臂车8辆、12吨垃圾收集车6辆、18吨垃圾收集车2辆、18吨深度洗扫车1辆、12吨洗扫车2辆、18吨洗扫车6辆、18吨雾炮车2辆、25吨洒水车2辆、18吨洒水车2辆、18吨洒水车（高压）2辆、18吨吸污车1辆、12方移动压缩箱25套（含喷淋除臭装置15套）、14方高位水平直压式垃圾压缩设备2套；具体采购内容详见第三章项目采购需求。</w:t>
            </w:r>
          </w:p>
        </w:tc>
      </w:tr>
      <w:tr w14:paraId="128B9ADF">
        <w:tblPrEx>
          <w:tblCellMar>
            <w:top w:w="0" w:type="dxa"/>
            <w:left w:w="108" w:type="dxa"/>
            <w:bottom w:w="0" w:type="dxa"/>
            <w:right w:w="108" w:type="dxa"/>
          </w:tblCellMar>
        </w:tblPrEx>
        <w:trPr>
          <w:trHeight w:val="9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15585574">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523" w:type="dxa"/>
            <w:tcBorders>
              <w:top w:val="single" w:color="auto" w:sz="4" w:space="0"/>
              <w:left w:val="single" w:color="auto" w:sz="4" w:space="0"/>
              <w:bottom w:val="single" w:color="auto" w:sz="4" w:space="0"/>
              <w:right w:val="single" w:color="auto" w:sz="4" w:space="0"/>
            </w:tcBorders>
            <w:vAlign w:val="center"/>
          </w:tcPr>
          <w:p w14:paraId="5053F407">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交货期限</w:t>
            </w:r>
          </w:p>
        </w:tc>
        <w:tc>
          <w:tcPr>
            <w:tcW w:w="7162" w:type="dxa"/>
            <w:tcBorders>
              <w:top w:val="single" w:color="auto" w:sz="4" w:space="0"/>
              <w:left w:val="single" w:color="auto" w:sz="4" w:space="0"/>
              <w:bottom w:val="single" w:color="auto" w:sz="4" w:space="0"/>
              <w:right w:val="single" w:color="auto" w:sz="4" w:space="0"/>
            </w:tcBorders>
            <w:vAlign w:val="center"/>
          </w:tcPr>
          <w:p w14:paraId="7A1A7907">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left"/>
              <w:textAlignment w:val="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eastAsia="zh-CN"/>
              </w:rPr>
              <w:t>自签订合同后45日历天内完成供货、安装及调试</w:t>
            </w:r>
            <w:r>
              <w:rPr>
                <w:rFonts w:hint="eastAsia" w:ascii="宋体" w:hAnsi="宋体" w:eastAsia="宋体" w:cs="宋体"/>
                <w:bCs/>
                <w:color w:val="auto"/>
                <w:sz w:val="24"/>
                <w:szCs w:val="24"/>
                <w:highlight w:val="none"/>
              </w:rPr>
              <w:t>。</w:t>
            </w:r>
          </w:p>
        </w:tc>
      </w:tr>
      <w:tr w14:paraId="360D47AF">
        <w:tblPrEx>
          <w:tblCellMar>
            <w:top w:w="0" w:type="dxa"/>
            <w:left w:w="108" w:type="dxa"/>
            <w:bottom w:w="0" w:type="dxa"/>
            <w:right w:w="108" w:type="dxa"/>
          </w:tblCellMar>
        </w:tblPrEx>
        <w:trPr>
          <w:trHeight w:val="9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FEE1CCF">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523" w:type="dxa"/>
            <w:tcBorders>
              <w:top w:val="single" w:color="auto" w:sz="4" w:space="0"/>
              <w:left w:val="single" w:color="auto" w:sz="4" w:space="0"/>
              <w:bottom w:val="single" w:color="auto" w:sz="4" w:space="0"/>
              <w:right w:val="single" w:color="auto" w:sz="4" w:space="0"/>
            </w:tcBorders>
            <w:vAlign w:val="center"/>
          </w:tcPr>
          <w:p w14:paraId="32AB2151">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质量要求</w:t>
            </w:r>
          </w:p>
        </w:tc>
        <w:tc>
          <w:tcPr>
            <w:tcW w:w="7162" w:type="dxa"/>
            <w:tcBorders>
              <w:top w:val="single" w:color="auto" w:sz="4" w:space="0"/>
              <w:left w:val="single" w:color="auto" w:sz="4" w:space="0"/>
              <w:bottom w:val="single" w:color="auto" w:sz="4" w:space="0"/>
              <w:right w:val="single" w:color="auto" w:sz="4" w:space="0"/>
            </w:tcBorders>
            <w:vAlign w:val="center"/>
          </w:tcPr>
          <w:p w14:paraId="28AA6D6C">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符合国家或行业规定的合格标准</w:t>
            </w:r>
          </w:p>
        </w:tc>
      </w:tr>
      <w:tr w14:paraId="79D74983">
        <w:tblPrEx>
          <w:tblCellMar>
            <w:top w:w="0" w:type="dxa"/>
            <w:left w:w="108" w:type="dxa"/>
            <w:bottom w:w="0" w:type="dxa"/>
            <w:right w:w="108" w:type="dxa"/>
          </w:tblCellMar>
        </w:tblPrEx>
        <w:trPr>
          <w:trHeight w:val="468"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AA5864B">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523" w:type="dxa"/>
            <w:tcBorders>
              <w:top w:val="single" w:color="auto" w:sz="4" w:space="0"/>
              <w:left w:val="single" w:color="auto" w:sz="4" w:space="0"/>
              <w:bottom w:val="single" w:color="auto" w:sz="4" w:space="0"/>
              <w:right w:val="single" w:color="auto" w:sz="4" w:space="0"/>
            </w:tcBorders>
            <w:vAlign w:val="center"/>
          </w:tcPr>
          <w:p w14:paraId="5DAC26C4">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质保期</w:t>
            </w:r>
          </w:p>
        </w:tc>
        <w:tc>
          <w:tcPr>
            <w:tcW w:w="7162" w:type="dxa"/>
            <w:tcBorders>
              <w:top w:val="single" w:color="auto" w:sz="4" w:space="0"/>
              <w:left w:val="single" w:color="auto" w:sz="4" w:space="0"/>
              <w:bottom w:val="single" w:color="auto" w:sz="4" w:space="0"/>
              <w:right w:val="single" w:color="auto" w:sz="4" w:space="0"/>
            </w:tcBorders>
            <w:vAlign w:val="center"/>
          </w:tcPr>
          <w:p w14:paraId="746276B3">
            <w:pPr>
              <w:keepNext w:val="0"/>
              <w:keepLines w:val="0"/>
              <w:pageBreakBefore w:val="0"/>
              <w:widowControl w:val="0"/>
              <w:kinsoku/>
              <w:wordWrap w:val="0"/>
              <w:overflowPunct/>
              <w:topLinePunct/>
              <w:autoSpaceDE/>
              <w:autoSpaceDN/>
              <w:bidi w:val="0"/>
              <w:adjustRightInd w:val="0"/>
              <w:snapToGrid w:val="0"/>
              <w:spacing w:before="0" w:beforeAutospacing="0" w:after="0" w:line="240" w:lineRule="auto"/>
              <w:ind w:right="0" w:rightChars="0" w:firstLine="0" w:firstLineChars="0"/>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一、二标段：质保一年</w:t>
            </w:r>
          </w:p>
          <w:p w14:paraId="0E24C652">
            <w:pPr>
              <w:keepNext w:val="0"/>
              <w:keepLines w:val="0"/>
              <w:pageBreakBefore w:val="0"/>
              <w:widowControl w:val="0"/>
              <w:kinsoku/>
              <w:wordWrap w:val="0"/>
              <w:overflowPunct/>
              <w:topLinePunct/>
              <w:autoSpaceDE/>
              <w:autoSpaceDN/>
              <w:bidi w:val="0"/>
              <w:adjustRightInd w:val="0"/>
              <w:snapToGrid w:val="0"/>
              <w:spacing w:before="0" w:beforeAutospacing="0" w:after="0" w:line="240" w:lineRule="auto"/>
              <w:ind w:right="0" w:rightChars="0" w:firstLine="0" w:firstLineChars="0"/>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三、四、五标段：整车质保一年，三电（电池、电机、电控）质保八年或20万公里。</w:t>
            </w:r>
          </w:p>
        </w:tc>
      </w:tr>
      <w:tr w14:paraId="78476D9A">
        <w:tblPrEx>
          <w:tblCellMar>
            <w:top w:w="0" w:type="dxa"/>
            <w:left w:w="108" w:type="dxa"/>
            <w:bottom w:w="0" w:type="dxa"/>
            <w:right w:w="108" w:type="dxa"/>
          </w:tblCellMar>
        </w:tblPrEx>
        <w:trPr>
          <w:trHeight w:val="468"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98DBBCC">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523" w:type="dxa"/>
            <w:tcBorders>
              <w:top w:val="single" w:color="auto" w:sz="4" w:space="0"/>
              <w:left w:val="single" w:color="auto" w:sz="4" w:space="0"/>
              <w:bottom w:val="single" w:color="auto" w:sz="4" w:space="0"/>
              <w:right w:val="single" w:color="auto" w:sz="4" w:space="0"/>
            </w:tcBorders>
            <w:vAlign w:val="center"/>
          </w:tcPr>
          <w:p w14:paraId="1A2A4CF4">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w:t>
            </w:r>
          </w:p>
        </w:tc>
        <w:tc>
          <w:tcPr>
            <w:tcW w:w="7162" w:type="dxa"/>
            <w:tcBorders>
              <w:top w:val="single" w:color="auto" w:sz="4" w:space="0"/>
              <w:left w:val="single" w:color="auto" w:sz="4" w:space="0"/>
              <w:bottom w:val="single" w:color="auto" w:sz="4" w:space="0"/>
              <w:right w:val="single" w:color="auto" w:sz="4" w:space="0"/>
            </w:tcBorders>
            <w:vAlign w:val="center"/>
          </w:tcPr>
          <w:p w14:paraId="59E25D62">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采购人指定地点</w:t>
            </w:r>
          </w:p>
        </w:tc>
      </w:tr>
      <w:tr w14:paraId="190E8285">
        <w:tblPrEx>
          <w:tblCellMar>
            <w:top w:w="0" w:type="dxa"/>
            <w:left w:w="108" w:type="dxa"/>
            <w:bottom w:w="0" w:type="dxa"/>
            <w:right w:w="108" w:type="dxa"/>
          </w:tblCellMar>
        </w:tblPrEx>
        <w:trPr>
          <w:trHeight w:val="9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D03D12A">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523" w:type="dxa"/>
            <w:tcBorders>
              <w:top w:val="single" w:color="auto" w:sz="4" w:space="0"/>
              <w:left w:val="single" w:color="auto" w:sz="4" w:space="0"/>
              <w:bottom w:val="single" w:color="auto" w:sz="4" w:space="0"/>
              <w:right w:val="single" w:color="auto" w:sz="4" w:space="0"/>
            </w:tcBorders>
            <w:vAlign w:val="center"/>
          </w:tcPr>
          <w:p w14:paraId="48D3295E">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供应商资格要求</w:t>
            </w:r>
          </w:p>
        </w:tc>
        <w:tc>
          <w:tcPr>
            <w:tcW w:w="7162" w:type="dxa"/>
            <w:tcBorders>
              <w:top w:val="single" w:color="auto" w:sz="4" w:space="0"/>
              <w:left w:val="single" w:color="auto" w:sz="4" w:space="0"/>
              <w:bottom w:val="single" w:color="auto" w:sz="4" w:space="0"/>
              <w:right w:val="single" w:color="auto" w:sz="4" w:space="0"/>
            </w:tcBorders>
            <w:vAlign w:val="center"/>
          </w:tcPr>
          <w:p w14:paraId="200B0E90">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240" w:firstLineChars="1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1、符合《中华人民共和国政府采购法》第二十二条规定条件（提供相关证明资料或承诺书）；</w:t>
            </w:r>
          </w:p>
          <w:p w14:paraId="498F51CA">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240" w:firstLineChars="1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、落实政府采购政策要求：本项目支持中小型企业发展政策（残疾人福利性企业、监狱企业视同小微企业）、优先采购节能环保产品等政府采购政策。</w:t>
            </w:r>
          </w:p>
          <w:p w14:paraId="3AA7A4B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val="0"/>
              <w:spacing w:before="0" w:beforeAutospacing="0" w:after="0" w:afterAutospacing="0" w:line="360" w:lineRule="auto"/>
              <w:ind w:left="0" w:right="0" w:firstLine="240" w:firstLineChars="100"/>
              <w:jc w:val="left"/>
              <w:textAlignment w:val="auto"/>
              <w:rPr>
                <w:rFonts w:hint="eastAsia" w:ascii="宋体" w:hAnsi="宋体" w:eastAsia="宋体" w:cs="宋体"/>
                <w:bCs/>
                <w:i w:val="0"/>
                <w:iCs w:val="0"/>
                <w:caps w:val="0"/>
                <w:color w:val="auto"/>
                <w:spacing w:val="0"/>
                <w:sz w:val="24"/>
                <w:szCs w:val="24"/>
                <w:highlight w:val="none"/>
              </w:rPr>
            </w:pPr>
            <w:r>
              <w:rPr>
                <w:rFonts w:hint="eastAsia" w:ascii="宋体" w:hAnsi="宋体" w:eastAsia="宋体" w:cs="宋体"/>
                <w:bCs/>
                <w:i w:val="0"/>
                <w:iCs w:val="0"/>
                <w:caps w:val="0"/>
                <w:color w:val="auto"/>
                <w:spacing w:val="0"/>
                <w:kern w:val="2"/>
                <w:sz w:val="24"/>
                <w:szCs w:val="24"/>
                <w:highlight w:val="none"/>
                <w:lang w:val="en-US" w:eastAsia="zh-CN" w:bidi="ar"/>
              </w:rPr>
              <w:t>3、本项目的特定资格要求</w:t>
            </w:r>
          </w:p>
          <w:p w14:paraId="5C349BD1">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bCs/>
                <w:i w:val="0"/>
                <w:iCs w:val="0"/>
                <w:caps w:val="0"/>
                <w:color w:val="auto"/>
                <w:spacing w:val="0"/>
                <w:kern w:val="2"/>
                <w:sz w:val="24"/>
                <w:szCs w:val="24"/>
                <w:highlight w:val="none"/>
                <w:lang w:val="en-US" w:eastAsia="zh-CN" w:bidi="ar"/>
              </w:rPr>
              <w:t>3.1</w:t>
            </w:r>
            <w:r>
              <w:rPr>
                <w:rFonts w:hint="eastAsia" w:ascii="宋体" w:hAnsi="宋体" w:eastAsia="宋体" w:cs="宋体"/>
                <w:bCs/>
                <w:color w:val="auto"/>
                <w:sz w:val="24"/>
                <w:szCs w:val="24"/>
                <w:highlight w:val="none"/>
              </w:rPr>
              <w:t>投标供应商须具有独立法人资格</w:t>
            </w:r>
            <w:r>
              <w:rPr>
                <w:rFonts w:hint="eastAsia" w:ascii="宋体" w:hAnsi="宋体" w:eastAsia="宋体" w:cs="宋体"/>
                <w:color w:val="auto"/>
                <w:sz w:val="24"/>
                <w:szCs w:val="24"/>
                <w:highlight w:val="none"/>
              </w:rPr>
              <w:t>，同时具有有效的营业执照、税务登记证、组织机构代码证或三证合一的营业执照；</w:t>
            </w:r>
          </w:p>
          <w:p w14:paraId="09918720">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w:t>
            </w:r>
            <w:r>
              <w:rPr>
                <w:rFonts w:hint="eastAsia" w:ascii="宋体" w:hAnsi="宋体" w:eastAsia="宋体" w:cs="宋体"/>
                <w:bCs/>
                <w:color w:val="auto"/>
                <w:sz w:val="24"/>
                <w:szCs w:val="24"/>
                <w:highlight w:val="none"/>
              </w:rPr>
              <w:t>供应商应具有履行合同所必须的设备、人员和专业技术能力（承诺书格式自拟）；</w:t>
            </w:r>
          </w:p>
          <w:p w14:paraId="7108DA6B">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w:t>
            </w:r>
            <w:r>
              <w:rPr>
                <w:rFonts w:hint="eastAsia" w:ascii="宋体" w:hAnsi="宋体" w:eastAsia="宋体" w:cs="宋体"/>
                <w:color w:val="auto"/>
                <w:sz w:val="24"/>
                <w:szCs w:val="24"/>
                <w:highlight w:val="none"/>
              </w:rPr>
              <w:t>投标供应商自成立以来无商业贿赂及无不正当竞争行为（提供承诺书，</w:t>
            </w:r>
            <w:r>
              <w:rPr>
                <w:rFonts w:hint="eastAsia" w:ascii="宋体" w:hAnsi="宋体" w:eastAsia="宋体" w:cs="宋体"/>
                <w:bCs/>
                <w:color w:val="auto"/>
                <w:sz w:val="24"/>
                <w:szCs w:val="24"/>
                <w:highlight w:val="none"/>
              </w:rPr>
              <w:t>承诺书格式自拟</w:t>
            </w:r>
            <w:r>
              <w:rPr>
                <w:rFonts w:hint="eastAsia" w:ascii="宋体" w:hAnsi="宋体" w:eastAsia="宋体" w:cs="宋体"/>
                <w:color w:val="auto"/>
                <w:sz w:val="24"/>
                <w:szCs w:val="24"/>
                <w:highlight w:val="none"/>
              </w:rPr>
              <w:t>）；</w:t>
            </w:r>
          </w:p>
          <w:p w14:paraId="3B34E8E1">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rPr>
              <w:t>提供投标供应商企业、法定代表人无行贿犯罪记录，在中国裁判文书网查询（提供公告后网页查询截图）或投标供应商自行承诺；</w:t>
            </w:r>
          </w:p>
          <w:p w14:paraId="3E2572EA">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单位负责人为同一人或者存在控股、管理关系的不同单位，不得同时参加本项目政府采购活动（投标文件内附加盖供投标应商公章的“</w:t>
            </w:r>
            <w:r>
              <w:rPr>
                <w:rFonts w:hint="eastAsia" w:ascii="宋体" w:hAnsi="宋体" w:eastAsia="宋体" w:cs="宋体"/>
                <w:color w:val="auto"/>
                <w:sz w:val="24"/>
                <w:szCs w:val="24"/>
                <w:highlight w:val="none"/>
                <w:lang w:eastAsia="zh-CN"/>
              </w:rPr>
              <w:t>国家企业信用信息公示系统</w:t>
            </w:r>
            <w:r>
              <w:rPr>
                <w:rFonts w:hint="eastAsia" w:ascii="宋体" w:hAnsi="宋体" w:eastAsia="宋体" w:cs="宋体"/>
                <w:color w:val="auto"/>
                <w:sz w:val="24"/>
                <w:szCs w:val="24"/>
                <w:highlight w:val="none"/>
              </w:rPr>
              <w:t>”中公示的公司信息、股东或投资人信息）；</w:t>
            </w:r>
          </w:p>
          <w:p w14:paraId="28177277">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3.6</w:t>
            </w:r>
            <w:r>
              <w:rPr>
                <w:rFonts w:hint="eastAsia" w:ascii="宋体" w:hAnsi="宋体" w:eastAsia="宋体" w:cs="宋体"/>
                <w:color w:val="auto"/>
                <w:sz w:val="24"/>
                <w:szCs w:val="24"/>
                <w:highlight w:val="none"/>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相关网页查询页截图，查询时间为本项目公告发布之后；</w:t>
            </w:r>
          </w:p>
          <w:p w14:paraId="082DE00A">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w:t>
            </w:r>
            <w:r>
              <w:rPr>
                <w:rFonts w:hint="eastAsia" w:ascii="宋体" w:hAnsi="宋体" w:eastAsia="宋体" w:cs="宋体"/>
                <w:color w:val="auto"/>
                <w:sz w:val="24"/>
                <w:szCs w:val="24"/>
                <w:highlight w:val="none"/>
              </w:rPr>
              <w:t>本项目不接受联合体投标。</w:t>
            </w:r>
          </w:p>
          <w:p w14:paraId="154E0B3F">
            <w:pP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cs="宋体"/>
                <w:color w:val="auto"/>
                <w:sz w:val="24"/>
                <w:szCs w:val="24"/>
                <w:highlight w:val="none"/>
                <w:lang w:eastAsia="zh-CN"/>
              </w:rPr>
              <w:t>本次招标投标人可以参与多个标段</w:t>
            </w:r>
            <w:r>
              <w:rPr>
                <w:rFonts w:hint="eastAsia" w:ascii="宋体" w:hAnsi="宋体" w:eastAsia="宋体" w:cs="宋体"/>
                <w:color w:val="auto"/>
                <w:sz w:val="24"/>
                <w:szCs w:val="24"/>
                <w:highlight w:val="none"/>
              </w:rPr>
              <w:t>，但最多只能中一个标段。在投标时如果某一中标候选人在多个标段均排名第一，取排序靠前的标段为该投标人的中标标段，其他标段的中标候选人按排名次序递补。</w:t>
            </w:r>
          </w:p>
        </w:tc>
      </w:tr>
      <w:tr w14:paraId="5781F82B">
        <w:tblPrEx>
          <w:tblCellMar>
            <w:top w:w="0" w:type="dxa"/>
            <w:left w:w="108" w:type="dxa"/>
            <w:bottom w:w="0" w:type="dxa"/>
            <w:right w:w="108" w:type="dxa"/>
          </w:tblCellMar>
        </w:tblPrEx>
        <w:trPr>
          <w:trHeight w:val="468"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17E53F5D">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523" w:type="dxa"/>
            <w:tcBorders>
              <w:top w:val="single" w:color="auto" w:sz="4" w:space="0"/>
              <w:left w:val="single" w:color="auto" w:sz="4" w:space="0"/>
              <w:bottom w:val="single" w:color="auto" w:sz="4" w:space="0"/>
              <w:right w:val="single" w:color="auto" w:sz="4" w:space="0"/>
            </w:tcBorders>
            <w:vAlign w:val="center"/>
          </w:tcPr>
          <w:p w14:paraId="4C9EFF1C">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是否接受联合体投标</w:t>
            </w:r>
          </w:p>
        </w:tc>
        <w:tc>
          <w:tcPr>
            <w:tcW w:w="7162" w:type="dxa"/>
            <w:tcBorders>
              <w:top w:val="single" w:color="auto" w:sz="4" w:space="0"/>
              <w:left w:val="single" w:color="auto" w:sz="4" w:space="0"/>
              <w:bottom w:val="single" w:color="auto" w:sz="4" w:space="0"/>
              <w:right w:val="single" w:color="auto" w:sz="4" w:space="0"/>
            </w:tcBorders>
            <w:vAlign w:val="center"/>
          </w:tcPr>
          <w:p w14:paraId="406D05A6">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w:t>
            </w:r>
          </w:p>
        </w:tc>
      </w:tr>
      <w:tr w14:paraId="673477EC">
        <w:tblPrEx>
          <w:tblCellMar>
            <w:top w:w="0" w:type="dxa"/>
            <w:left w:w="108" w:type="dxa"/>
            <w:bottom w:w="0" w:type="dxa"/>
            <w:right w:w="108" w:type="dxa"/>
          </w:tblCellMar>
        </w:tblPrEx>
        <w:trPr>
          <w:trHeight w:val="9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CD7DF72">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523" w:type="dxa"/>
            <w:tcBorders>
              <w:top w:val="single" w:color="auto" w:sz="4" w:space="0"/>
              <w:left w:val="single" w:color="auto" w:sz="4" w:space="0"/>
              <w:bottom w:val="single" w:color="auto" w:sz="4" w:space="0"/>
              <w:right w:val="single" w:color="auto" w:sz="4" w:space="0"/>
            </w:tcBorders>
            <w:vAlign w:val="center"/>
          </w:tcPr>
          <w:p w14:paraId="0D56C230">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7162" w:type="dxa"/>
            <w:tcBorders>
              <w:top w:val="single" w:color="auto" w:sz="4" w:space="0"/>
              <w:left w:val="single" w:color="auto" w:sz="4" w:space="0"/>
              <w:bottom w:val="single" w:color="auto" w:sz="4" w:space="0"/>
              <w:right w:val="single" w:color="auto" w:sz="4" w:space="0"/>
            </w:tcBorders>
            <w:vAlign w:val="center"/>
          </w:tcPr>
          <w:p w14:paraId="191A7B39">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w:t>
            </w:r>
          </w:p>
        </w:tc>
      </w:tr>
      <w:tr w14:paraId="590D6DF9">
        <w:tblPrEx>
          <w:tblCellMar>
            <w:top w:w="0" w:type="dxa"/>
            <w:left w:w="108" w:type="dxa"/>
            <w:bottom w:w="0" w:type="dxa"/>
            <w:right w:w="108" w:type="dxa"/>
          </w:tblCellMar>
        </w:tblPrEx>
        <w:trPr>
          <w:trHeight w:val="153"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62FBDF05">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523" w:type="dxa"/>
            <w:tcBorders>
              <w:top w:val="single" w:color="auto" w:sz="4" w:space="0"/>
              <w:left w:val="single" w:color="auto" w:sz="4" w:space="0"/>
              <w:bottom w:val="single" w:color="auto" w:sz="4" w:space="0"/>
              <w:right w:val="single" w:color="auto" w:sz="4" w:space="0"/>
            </w:tcBorders>
            <w:vAlign w:val="center"/>
          </w:tcPr>
          <w:p w14:paraId="005DA24F">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投标预备会</w:t>
            </w:r>
          </w:p>
        </w:tc>
        <w:tc>
          <w:tcPr>
            <w:tcW w:w="7162" w:type="dxa"/>
            <w:tcBorders>
              <w:top w:val="single" w:color="auto" w:sz="4" w:space="0"/>
              <w:left w:val="single" w:color="auto" w:sz="4" w:space="0"/>
              <w:bottom w:val="single" w:color="auto" w:sz="4" w:space="0"/>
              <w:right w:val="single" w:color="auto" w:sz="4" w:space="0"/>
            </w:tcBorders>
            <w:vAlign w:val="center"/>
          </w:tcPr>
          <w:p w14:paraId="10F3F920">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本项目不组织投标预备会。</w:t>
            </w:r>
          </w:p>
        </w:tc>
      </w:tr>
      <w:tr w14:paraId="0C9AFE5C">
        <w:tblPrEx>
          <w:tblCellMar>
            <w:top w:w="0" w:type="dxa"/>
            <w:left w:w="108" w:type="dxa"/>
            <w:bottom w:w="0" w:type="dxa"/>
            <w:right w:w="108" w:type="dxa"/>
          </w:tblCellMar>
        </w:tblPrEx>
        <w:trPr>
          <w:trHeight w:val="9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402644DA">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523" w:type="dxa"/>
            <w:tcBorders>
              <w:top w:val="single" w:color="auto" w:sz="4" w:space="0"/>
              <w:left w:val="single" w:color="auto" w:sz="4" w:space="0"/>
              <w:bottom w:val="single" w:color="auto" w:sz="4" w:space="0"/>
              <w:right w:val="single" w:color="auto" w:sz="4" w:space="0"/>
            </w:tcBorders>
            <w:vAlign w:val="center"/>
          </w:tcPr>
          <w:p w14:paraId="4AF211B5">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7162" w:type="dxa"/>
            <w:tcBorders>
              <w:top w:val="single" w:color="auto" w:sz="4" w:space="0"/>
              <w:left w:val="single" w:color="auto" w:sz="4" w:space="0"/>
              <w:bottom w:val="single" w:color="auto" w:sz="4" w:space="0"/>
              <w:right w:val="single" w:color="auto" w:sz="4" w:space="0"/>
            </w:tcBorders>
            <w:vAlign w:val="center"/>
          </w:tcPr>
          <w:p w14:paraId="49AE3346">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tc>
      </w:tr>
      <w:tr w14:paraId="73E23E51">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A846BA8">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523" w:type="dxa"/>
            <w:tcBorders>
              <w:top w:val="single" w:color="auto" w:sz="4" w:space="0"/>
              <w:left w:val="single" w:color="auto" w:sz="4" w:space="0"/>
              <w:bottom w:val="single" w:color="auto" w:sz="4" w:space="0"/>
              <w:right w:val="single" w:color="auto" w:sz="4" w:space="0"/>
            </w:tcBorders>
            <w:vAlign w:val="center"/>
          </w:tcPr>
          <w:p w14:paraId="4A775251">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7162" w:type="dxa"/>
            <w:tcBorders>
              <w:top w:val="single" w:color="auto" w:sz="4" w:space="0"/>
              <w:left w:val="single" w:color="auto" w:sz="4" w:space="0"/>
              <w:bottom w:val="single" w:color="auto" w:sz="4" w:space="0"/>
              <w:right w:val="single" w:color="auto" w:sz="4" w:space="0"/>
            </w:tcBorders>
            <w:vAlign w:val="center"/>
          </w:tcPr>
          <w:p w14:paraId="398ACE59">
            <w:pPr>
              <w:pStyle w:val="5"/>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不允许负偏离。</w:t>
            </w:r>
          </w:p>
        </w:tc>
      </w:tr>
      <w:tr w14:paraId="3F6EDE69">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838F79B">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523" w:type="dxa"/>
            <w:tcBorders>
              <w:top w:val="single" w:color="auto" w:sz="4" w:space="0"/>
              <w:left w:val="single" w:color="auto" w:sz="4" w:space="0"/>
              <w:bottom w:val="single" w:color="auto" w:sz="4" w:space="0"/>
              <w:right w:val="single" w:color="auto" w:sz="4" w:space="0"/>
            </w:tcBorders>
            <w:vAlign w:val="center"/>
          </w:tcPr>
          <w:p w14:paraId="7EE0C196">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是否允许备选投标方案</w:t>
            </w:r>
          </w:p>
        </w:tc>
        <w:tc>
          <w:tcPr>
            <w:tcW w:w="7162" w:type="dxa"/>
            <w:tcBorders>
              <w:top w:val="single" w:color="auto" w:sz="4" w:space="0"/>
              <w:left w:val="single" w:color="auto" w:sz="4" w:space="0"/>
              <w:bottom w:val="single" w:color="auto" w:sz="4" w:space="0"/>
              <w:right w:val="single" w:color="auto" w:sz="4" w:space="0"/>
            </w:tcBorders>
            <w:vAlign w:val="center"/>
          </w:tcPr>
          <w:p w14:paraId="55AEB763">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tc>
      </w:tr>
      <w:tr w14:paraId="00D74A8E">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22224E8">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523" w:type="dxa"/>
            <w:tcBorders>
              <w:top w:val="single" w:color="auto" w:sz="4" w:space="0"/>
              <w:left w:val="single" w:color="auto" w:sz="4" w:space="0"/>
              <w:bottom w:val="single" w:color="auto" w:sz="4" w:space="0"/>
              <w:right w:val="single" w:color="auto" w:sz="4" w:space="0"/>
            </w:tcBorders>
            <w:vAlign w:val="center"/>
          </w:tcPr>
          <w:p w14:paraId="336418BD">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是否退还投标文件</w:t>
            </w:r>
          </w:p>
        </w:tc>
        <w:tc>
          <w:tcPr>
            <w:tcW w:w="7162" w:type="dxa"/>
            <w:tcBorders>
              <w:top w:val="single" w:color="auto" w:sz="4" w:space="0"/>
              <w:left w:val="single" w:color="auto" w:sz="4" w:space="0"/>
              <w:bottom w:val="single" w:color="auto" w:sz="4" w:space="0"/>
              <w:right w:val="single" w:color="auto" w:sz="4" w:space="0"/>
            </w:tcBorders>
            <w:vAlign w:val="center"/>
          </w:tcPr>
          <w:p w14:paraId="1B80728C">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14:paraId="7F8597FD">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415F89A">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523" w:type="dxa"/>
            <w:tcBorders>
              <w:top w:val="single" w:color="auto" w:sz="4" w:space="0"/>
              <w:left w:val="single" w:color="auto" w:sz="4" w:space="0"/>
              <w:bottom w:val="single" w:color="auto" w:sz="4" w:space="0"/>
              <w:right w:val="single" w:color="auto" w:sz="4" w:space="0"/>
            </w:tcBorders>
            <w:vAlign w:val="center"/>
          </w:tcPr>
          <w:p w14:paraId="2FD40A98">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投标供应商提出问题的截止时间</w:t>
            </w:r>
          </w:p>
        </w:tc>
        <w:tc>
          <w:tcPr>
            <w:tcW w:w="7162" w:type="dxa"/>
            <w:tcBorders>
              <w:top w:val="single" w:color="auto" w:sz="4" w:space="0"/>
              <w:left w:val="single" w:color="auto" w:sz="4" w:space="0"/>
              <w:bottom w:val="single" w:color="auto" w:sz="4" w:space="0"/>
              <w:right w:val="single" w:color="auto" w:sz="4" w:space="0"/>
            </w:tcBorders>
            <w:vAlign w:val="center"/>
          </w:tcPr>
          <w:p w14:paraId="5F349C8D">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投标截止10日前</w:t>
            </w:r>
          </w:p>
        </w:tc>
      </w:tr>
      <w:tr w14:paraId="421644BA">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B9548BE">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523" w:type="dxa"/>
            <w:tcBorders>
              <w:top w:val="single" w:color="auto" w:sz="4" w:space="0"/>
              <w:left w:val="single" w:color="auto" w:sz="4" w:space="0"/>
              <w:bottom w:val="single" w:color="auto" w:sz="4" w:space="0"/>
              <w:right w:val="single" w:color="auto" w:sz="4" w:space="0"/>
            </w:tcBorders>
            <w:vAlign w:val="center"/>
          </w:tcPr>
          <w:p w14:paraId="064EE6FB">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采购人澄清的时间</w:t>
            </w:r>
          </w:p>
        </w:tc>
        <w:tc>
          <w:tcPr>
            <w:tcW w:w="7162" w:type="dxa"/>
            <w:tcBorders>
              <w:top w:val="single" w:color="auto" w:sz="4" w:space="0"/>
              <w:left w:val="single" w:color="auto" w:sz="4" w:space="0"/>
              <w:bottom w:val="single" w:color="auto" w:sz="4" w:space="0"/>
              <w:right w:val="single" w:color="auto" w:sz="4" w:space="0"/>
            </w:tcBorders>
            <w:vAlign w:val="center"/>
          </w:tcPr>
          <w:p w14:paraId="656C6B22">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投标截止15日前</w:t>
            </w:r>
          </w:p>
        </w:tc>
      </w:tr>
      <w:tr w14:paraId="7088FF5F">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2274B2F">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523" w:type="dxa"/>
            <w:tcBorders>
              <w:top w:val="single" w:color="auto" w:sz="4" w:space="0"/>
              <w:left w:val="single" w:color="auto" w:sz="4" w:space="0"/>
              <w:bottom w:val="single" w:color="auto" w:sz="4" w:space="0"/>
              <w:right w:val="single" w:color="auto" w:sz="4" w:space="0"/>
            </w:tcBorders>
            <w:vAlign w:val="center"/>
          </w:tcPr>
          <w:p w14:paraId="060A2A79">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投标文件的签章</w:t>
            </w:r>
          </w:p>
        </w:tc>
        <w:tc>
          <w:tcPr>
            <w:tcW w:w="7162" w:type="dxa"/>
            <w:tcBorders>
              <w:top w:val="single" w:color="auto" w:sz="4" w:space="0"/>
              <w:left w:val="single" w:color="auto" w:sz="4" w:space="0"/>
              <w:bottom w:val="single" w:color="auto" w:sz="4" w:space="0"/>
              <w:right w:val="single" w:color="auto" w:sz="4" w:space="0"/>
            </w:tcBorders>
            <w:vAlign w:val="center"/>
          </w:tcPr>
          <w:p w14:paraId="5E1D5243">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电子化投标文件的签章：</w:t>
            </w:r>
          </w:p>
          <w:p w14:paraId="117CF579">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1、投标供应商在生成电子化投标文件后，应对电子化投标文件进行签章，未对电子化文件进行签章的视为无效投标。</w:t>
            </w:r>
          </w:p>
          <w:p w14:paraId="49060446">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2、招标文件中要求法定代表人或授权委托人盖章的，投标供应商在进行电子化投标文件签章时，以签盖法定代表人签章为准。</w:t>
            </w:r>
          </w:p>
          <w:p w14:paraId="0E521954">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3、电子化投标文件工具请在三门峡市公共资源交易中心网首页“下载专区”下载。</w:t>
            </w:r>
          </w:p>
        </w:tc>
      </w:tr>
      <w:tr w14:paraId="14A11A51">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C524953">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523" w:type="dxa"/>
            <w:tcBorders>
              <w:top w:val="single" w:color="auto" w:sz="4" w:space="0"/>
              <w:left w:val="single" w:color="auto" w:sz="4" w:space="0"/>
              <w:bottom w:val="single" w:color="auto" w:sz="4" w:space="0"/>
              <w:right w:val="single" w:color="auto" w:sz="4" w:space="0"/>
            </w:tcBorders>
            <w:vAlign w:val="center"/>
          </w:tcPr>
          <w:p w14:paraId="17BF2A11">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w:t>
            </w:r>
          </w:p>
        </w:tc>
        <w:tc>
          <w:tcPr>
            <w:tcW w:w="7162" w:type="dxa"/>
            <w:tcBorders>
              <w:top w:val="single" w:color="auto" w:sz="4" w:space="0"/>
              <w:left w:val="single" w:color="auto" w:sz="4" w:space="0"/>
              <w:bottom w:val="single" w:color="auto" w:sz="4" w:space="0"/>
              <w:right w:val="single" w:color="auto" w:sz="4" w:space="0"/>
            </w:tcBorders>
            <w:vAlign w:val="center"/>
          </w:tcPr>
          <w:p w14:paraId="2511B914">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同开标时间</w:t>
            </w:r>
          </w:p>
        </w:tc>
      </w:tr>
      <w:tr w14:paraId="6670F2B4">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D82E2ED">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1523" w:type="dxa"/>
            <w:tcBorders>
              <w:top w:val="single" w:color="auto" w:sz="4" w:space="0"/>
              <w:left w:val="single" w:color="auto" w:sz="4" w:space="0"/>
              <w:bottom w:val="single" w:color="auto" w:sz="4" w:space="0"/>
              <w:right w:val="single" w:color="auto" w:sz="4" w:space="0"/>
            </w:tcBorders>
            <w:vAlign w:val="center"/>
          </w:tcPr>
          <w:p w14:paraId="14E668A2">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7162" w:type="dxa"/>
            <w:tcBorders>
              <w:top w:val="single" w:color="auto" w:sz="4" w:space="0"/>
              <w:left w:val="single" w:color="auto" w:sz="4" w:space="0"/>
              <w:bottom w:val="single" w:color="auto" w:sz="4" w:space="0"/>
              <w:right w:val="single" w:color="auto" w:sz="4" w:space="0"/>
            </w:tcBorders>
            <w:vAlign w:val="center"/>
          </w:tcPr>
          <w:p w14:paraId="46CD5DED">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从投标截止之日起60日历天</w:t>
            </w:r>
          </w:p>
        </w:tc>
      </w:tr>
      <w:tr w14:paraId="07984EB3">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357CD5B">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523" w:type="dxa"/>
            <w:tcBorders>
              <w:top w:val="single" w:color="auto" w:sz="4" w:space="0"/>
              <w:left w:val="single" w:color="auto" w:sz="4" w:space="0"/>
              <w:bottom w:val="single" w:color="auto" w:sz="4" w:space="0"/>
              <w:right w:val="single" w:color="auto" w:sz="4" w:space="0"/>
            </w:tcBorders>
            <w:vAlign w:val="center"/>
          </w:tcPr>
          <w:p w14:paraId="63B204B1">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开标时间和地点</w:t>
            </w:r>
          </w:p>
        </w:tc>
        <w:tc>
          <w:tcPr>
            <w:tcW w:w="7162" w:type="dxa"/>
            <w:tcBorders>
              <w:top w:val="single" w:color="auto" w:sz="4" w:space="0"/>
              <w:left w:val="single" w:color="auto" w:sz="4" w:space="0"/>
              <w:bottom w:val="single" w:color="auto" w:sz="4" w:space="0"/>
              <w:right w:val="single" w:color="auto" w:sz="4" w:space="0"/>
            </w:tcBorders>
            <w:vAlign w:val="center"/>
          </w:tcPr>
          <w:p w14:paraId="02BC78AF">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lang w:eastAsia="zh-CN"/>
              </w:rPr>
              <w:t>2025年12月12日08时30分</w:t>
            </w:r>
            <w:r>
              <w:rPr>
                <w:rFonts w:hint="eastAsia" w:ascii="宋体" w:hAnsi="宋体" w:eastAsia="宋体" w:cs="宋体"/>
                <w:color w:val="auto"/>
                <w:sz w:val="24"/>
                <w:szCs w:val="24"/>
                <w:highlight w:val="none"/>
              </w:rPr>
              <w:t>（北京时间）</w:t>
            </w:r>
          </w:p>
          <w:p w14:paraId="5DE623FB">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i w:val="0"/>
                <w:iCs w:val="0"/>
                <w:caps w:val="0"/>
                <w:color w:val="auto"/>
                <w:spacing w:val="0"/>
                <w:kern w:val="0"/>
                <w:sz w:val="24"/>
                <w:szCs w:val="24"/>
                <w:highlight w:val="none"/>
                <w:lang w:val="en-US" w:eastAsia="zh-CN" w:bidi="ar"/>
              </w:rPr>
              <w:t>灵宝市公共资源交易中心</w:t>
            </w:r>
            <w:r>
              <w:rPr>
                <w:rFonts w:hint="eastAsia" w:ascii="宋体" w:hAnsi="宋体" w:cs="宋体"/>
                <w:i w:val="0"/>
                <w:iCs w:val="0"/>
                <w:caps w:val="0"/>
                <w:color w:val="auto"/>
                <w:spacing w:val="0"/>
                <w:kern w:val="0"/>
                <w:sz w:val="24"/>
                <w:szCs w:val="24"/>
                <w:highlight w:val="none"/>
                <w:lang w:val="en-US" w:eastAsia="zh-CN" w:bidi="ar"/>
              </w:rPr>
              <w:t>开标一室</w:t>
            </w:r>
            <w:r>
              <w:rPr>
                <w:rFonts w:hint="eastAsia" w:ascii="宋体" w:hAnsi="宋体" w:eastAsia="宋体" w:cs="宋体"/>
                <w:i w:val="0"/>
                <w:iCs w:val="0"/>
                <w:caps w:val="0"/>
                <w:color w:val="auto"/>
                <w:spacing w:val="0"/>
                <w:kern w:val="0"/>
                <w:sz w:val="24"/>
                <w:szCs w:val="24"/>
                <w:highlight w:val="none"/>
                <w:lang w:val="en-US" w:eastAsia="zh-CN" w:bidi="ar"/>
              </w:rPr>
              <w:t>（灵宝市金城大道信用合作联社12楼）</w:t>
            </w:r>
          </w:p>
        </w:tc>
      </w:tr>
      <w:tr w14:paraId="4E95C8BD">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4FB7FC7">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523" w:type="dxa"/>
            <w:tcBorders>
              <w:top w:val="single" w:color="auto" w:sz="4" w:space="0"/>
              <w:left w:val="single" w:color="auto" w:sz="4" w:space="0"/>
              <w:bottom w:val="single" w:color="auto" w:sz="4" w:space="0"/>
              <w:right w:val="single" w:color="auto" w:sz="4" w:space="0"/>
            </w:tcBorders>
            <w:vAlign w:val="center"/>
          </w:tcPr>
          <w:p w14:paraId="3DB56EC2">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评标委员会的</w:t>
            </w:r>
          </w:p>
          <w:p w14:paraId="4355DCBD">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组建</w:t>
            </w:r>
          </w:p>
        </w:tc>
        <w:tc>
          <w:tcPr>
            <w:tcW w:w="7162" w:type="dxa"/>
            <w:tcBorders>
              <w:top w:val="single" w:color="auto" w:sz="4" w:space="0"/>
              <w:left w:val="single" w:color="auto" w:sz="4" w:space="0"/>
              <w:bottom w:val="single" w:color="auto" w:sz="4" w:space="0"/>
              <w:right w:val="single" w:color="auto" w:sz="4" w:space="0"/>
            </w:tcBorders>
            <w:vAlign w:val="center"/>
          </w:tcPr>
          <w:p w14:paraId="6134A2E4">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评标委员会构成：</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人，业主代表</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人，评审专家</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人；</w:t>
            </w:r>
          </w:p>
          <w:p w14:paraId="5EEBC401">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评标专家确定方式：通过相关专家库随机抽取。</w:t>
            </w:r>
          </w:p>
          <w:p w14:paraId="7469E189">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根据省政府关于评标专家的有关管理规定，招标人代表（业主评委）无评标劳务费。</w:t>
            </w:r>
          </w:p>
        </w:tc>
      </w:tr>
      <w:tr w14:paraId="4DEBD9DF">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097EA79">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523" w:type="dxa"/>
            <w:tcBorders>
              <w:top w:val="single" w:color="auto" w:sz="4" w:space="0"/>
              <w:left w:val="single" w:color="auto" w:sz="4" w:space="0"/>
              <w:bottom w:val="single" w:color="auto" w:sz="4" w:space="0"/>
              <w:right w:val="single" w:color="auto" w:sz="4" w:space="0"/>
            </w:tcBorders>
            <w:vAlign w:val="center"/>
          </w:tcPr>
          <w:p w14:paraId="616B6B07">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是否授权评标委员会确定中标供应商</w:t>
            </w:r>
          </w:p>
        </w:tc>
        <w:tc>
          <w:tcPr>
            <w:tcW w:w="7162" w:type="dxa"/>
            <w:tcBorders>
              <w:top w:val="single" w:color="auto" w:sz="4" w:space="0"/>
              <w:left w:val="single" w:color="auto" w:sz="4" w:space="0"/>
              <w:bottom w:val="single" w:color="auto" w:sz="4" w:space="0"/>
              <w:right w:val="single" w:color="auto" w:sz="4" w:space="0"/>
            </w:tcBorders>
            <w:vAlign w:val="center"/>
          </w:tcPr>
          <w:p w14:paraId="49710E45">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否，评标委员会推荐1-3名中标候选人并排序；</w:t>
            </w:r>
          </w:p>
        </w:tc>
      </w:tr>
      <w:tr w14:paraId="6035A05E">
        <w:tblPrEx>
          <w:tblCellMar>
            <w:top w:w="0" w:type="dxa"/>
            <w:left w:w="108" w:type="dxa"/>
            <w:bottom w:w="0" w:type="dxa"/>
            <w:right w:w="108" w:type="dxa"/>
          </w:tblCellMar>
        </w:tblPrEx>
        <w:trPr>
          <w:trHeight w:val="9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FB51975">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523" w:type="dxa"/>
            <w:tcBorders>
              <w:top w:val="single" w:color="auto" w:sz="4" w:space="0"/>
              <w:left w:val="single" w:color="auto" w:sz="4" w:space="0"/>
              <w:bottom w:val="single" w:color="auto" w:sz="4" w:space="0"/>
              <w:right w:val="single" w:color="auto" w:sz="4" w:space="0"/>
            </w:tcBorders>
            <w:vAlign w:val="center"/>
          </w:tcPr>
          <w:p w14:paraId="79349A37">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7162" w:type="dxa"/>
            <w:tcBorders>
              <w:top w:val="single" w:color="auto" w:sz="4" w:space="0"/>
              <w:left w:val="single" w:color="auto" w:sz="4" w:space="0"/>
              <w:bottom w:val="single" w:color="auto" w:sz="4" w:space="0"/>
              <w:right w:val="single" w:color="auto" w:sz="4" w:space="0"/>
            </w:tcBorders>
            <w:vAlign w:val="center"/>
          </w:tcPr>
          <w:p w14:paraId="593BAD48">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签订合同时，双方另行协商</w:t>
            </w:r>
          </w:p>
        </w:tc>
      </w:tr>
      <w:tr w14:paraId="6501402D">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6BFE561A">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1523" w:type="dxa"/>
            <w:tcBorders>
              <w:top w:val="single" w:color="auto" w:sz="4" w:space="0"/>
              <w:left w:val="single" w:color="auto" w:sz="4" w:space="0"/>
              <w:bottom w:val="single" w:color="auto" w:sz="4" w:space="0"/>
              <w:right w:val="single" w:color="auto" w:sz="4" w:space="0"/>
            </w:tcBorders>
            <w:vAlign w:val="center"/>
          </w:tcPr>
          <w:p w14:paraId="3D2EDFCC">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代理费</w:t>
            </w:r>
          </w:p>
        </w:tc>
        <w:tc>
          <w:tcPr>
            <w:tcW w:w="7162" w:type="dxa"/>
            <w:tcBorders>
              <w:top w:val="single" w:color="auto" w:sz="4" w:space="0"/>
              <w:left w:val="single" w:color="auto" w:sz="4" w:space="0"/>
              <w:bottom w:val="single" w:color="auto" w:sz="4" w:space="0"/>
              <w:right w:val="single" w:color="auto" w:sz="4" w:space="0"/>
            </w:tcBorders>
            <w:vAlign w:val="center"/>
          </w:tcPr>
          <w:p w14:paraId="0FE33623">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本项目代理服务费根据《河南省招标代理服务收费指导意见（豫招协【2023】002号）》有关规定收取，具体以实际中标（成交）金额为基数计取，由成交供应商支付。</w:t>
            </w:r>
          </w:p>
        </w:tc>
      </w:tr>
      <w:tr w14:paraId="3977AECB">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54BC4AA">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1523" w:type="dxa"/>
            <w:tcBorders>
              <w:top w:val="single" w:color="auto" w:sz="4" w:space="0"/>
              <w:left w:val="single" w:color="auto" w:sz="4" w:space="0"/>
              <w:bottom w:val="single" w:color="auto" w:sz="4" w:space="0"/>
              <w:right w:val="single" w:color="auto" w:sz="4" w:space="0"/>
            </w:tcBorders>
            <w:vAlign w:val="center"/>
          </w:tcPr>
          <w:p w14:paraId="46252DEE">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履约保证金</w:t>
            </w:r>
          </w:p>
        </w:tc>
        <w:tc>
          <w:tcPr>
            <w:tcW w:w="7162" w:type="dxa"/>
            <w:tcBorders>
              <w:top w:val="single" w:color="auto" w:sz="4" w:space="0"/>
              <w:left w:val="single" w:color="auto" w:sz="4" w:space="0"/>
              <w:bottom w:val="single" w:color="auto" w:sz="4" w:space="0"/>
              <w:right w:val="single" w:color="auto" w:sz="4" w:space="0"/>
            </w:tcBorders>
            <w:vAlign w:val="center"/>
          </w:tcPr>
          <w:p w14:paraId="397C3B3A">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根据三门峡市财政局《关于进一步优化提升政府采购营商环境有关事项通知》三财购【2021】14号文件，该项目不收取履约保证金。</w:t>
            </w:r>
          </w:p>
        </w:tc>
      </w:tr>
      <w:tr w14:paraId="686DA37B">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35798A0">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1523" w:type="dxa"/>
            <w:tcBorders>
              <w:top w:val="single" w:color="auto" w:sz="4" w:space="0"/>
              <w:left w:val="single" w:color="auto" w:sz="4" w:space="0"/>
              <w:bottom w:val="single" w:color="auto" w:sz="4" w:space="0"/>
              <w:right w:val="single" w:color="auto" w:sz="4" w:space="0"/>
            </w:tcBorders>
            <w:vAlign w:val="center"/>
          </w:tcPr>
          <w:p w14:paraId="480ED5B7">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本项目所属行业</w:t>
            </w:r>
          </w:p>
        </w:tc>
        <w:tc>
          <w:tcPr>
            <w:tcW w:w="7162" w:type="dxa"/>
            <w:tcBorders>
              <w:top w:val="single" w:color="auto" w:sz="4" w:space="0"/>
              <w:left w:val="single" w:color="auto" w:sz="4" w:space="0"/>
              <w:bottom w:val="single" w:color="auto" w:sz="4" w:space="0"/>
              <w:right w:val="single" w:color="auto" w:sz="4" w:space="0"/>
            </w:tcBorders>
            <w:vAlign w:val="center"/>
          </w:tcPr>
          <w:p w14:paraId="19691F98">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工业</w:t>
            </w:r>
          </w:p>
        </w:tc>
      </w:tr>
      <w:tr w14:paraId="44295AD3">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151739D">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1523" w:type="dxa"/>
            <w:tcBorders>
              <w:top w:val="single" w:color="auto" w:sz="4" w:space="0"/>
              <w:left w:val="single" w:color="auto" w:sz="4" w:space="0"/>
              <w:bottom w:val="single" w:color="auto" w:sz="4" w:space="0"/>
              <w:right w:val="single" w:color="auto" w:sz="4" w:space="0"/>
            </w:tcBorders>
            <w:vAlign w:val="center"/>
          </w:tcPr>
          <w:p w14:paraId="1A42D292">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电子招标投标文件递交异常的处理方式</w:t>
            </w:r>
          </w:p>
        </w:tc>
        <w:tc>
          <w:tcPr>
            <w:tcW w:w="7162" w:type="dxa"/>
            <w:tcBorders>
              <w:top w:val="single" w:color="auto" w:sz="4" w:space="0"/>
              <w:left w:val="single" w:color="auto" w:sz="4" w:space="0"/>
              <w:bottom w:val="single" w:color="auto" w:sz="4" w:space="0"/>
              <w:right w:val="single" w:color="auto" w:sz="4" w:space="0"/>
            </w:tcBorders>
            <w:vAlign w:val="center"/>
          </w:tcPr>
          <w:p w14:paraId="73321132">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当电子投标（文件打包、上传、解密异常）操作出现异常时，应及时联系平台技术支持人员解决。</w:t>
            </w:r>
          </w:p>
          <w:p w14:paraId="38B4E14E">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采购人有权对供应商提供的证明材料进行核实，如果发现供应商提供虚假信息，将追究提供虚假信息的责任。</w:t>
            </w:r>
          </w:p>
        </w:tc>
      </w:tr>
      <w:tr w14:paraId="1F77F4C0">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6027D2F6">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1523" w:type="dxa"/>
            <w:tcBorders>
              <w:top w:val="single" w:color="auto" w:sz="4" w:space="0"/>
              <w:left w:val="single" w:color="auto" w:sz="4" w:space="0"/>
              <w:bottom w:val="single" w:color="auto" w:sz="4" w:space="0"/>
              <w:right w:val="single" w:color="auto" w:sz="4" w:space="0"/>
            </w:tcBorders>
            <w:vAlign w:val="center"/>
          </w:tcPr>
          <w:p w14:paraId="3560F242">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成交公示</w:t>
            </w:r>
          </w:p>
        </w:tc>
        <w:tc>
          <w:tcPr>
            <w:tcW w:w="7162" w:type="dxa"/>
            <w:tcBorders>
              <w:top w:val="single" w:color="auto" w:sz="4" w:space="0"/>
              <w:left w:val="single" w:color="auto" w:sz="4" w:space="0"/>
              <w:bottom w:val="single" w:color="auto" w:sz="4" w:space="0"/>
              <w:right w:val="single" w:color="auto" w:sz="4" w:space="0"/>
            </w:tcBorders>
            <w:vAlign w:val="center"/>
          </w:tcPr>
          <w:p w14:paraId="499208C4">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《河南省政府采购网》、《</w:t>
            </w:r>
            <w:r>
              <w:rPr>
                <w:rFonts w:hint="eastAsia" w:ascii="宋体" w:hAnsi="宋体" w:cs="宋体"/>
                <w:color w:val="auto"/>
                <w:kern w:val="0"/>
                <w:sz w:val="24"/>
                <w:szCs w:val="24"/>
                <w:highlight w:val="none"/>
                <w:lang w:eastAsia="zh-CN"/>
              </w:rPr>
              <w:t>中国采购与招标网</w:t>
            </w:r>
            <w:r>
              <w:rPr>
                <w:rFonts w:hint="eastAsia" w:ascii="宋体" w:hAnsi="宋体" w:eastAsia="宋体" w:cs="宋体"/>
                <w:color w:val="auto"/>
                <w:kern w:val="0"/>
                <w:sz w:val="24"/>
                <w:szCs w:val="24"/>
                <w:highlight w:val="none"/>
              </w:rPr>
              <w:t>》、《三门峡市公共资源交易中心网》</w:t>
            </w:r>
          </w:p>
        </w:tc>
      </w:tr>
      <w:tr w14:paraId="2E2FD5C3">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7573ECF">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p>
        </w:tc>
        <w:tc>
          <w:tcPr>
            <w:tcW w:w="1523" w:type="dxa"/>
            <w:tcBorders>
              <w:top w:val="single" w:color="auto" w:sz="4" w:space="0"/>
              <w:left w:val="single" w:color="auto" w:sz="4" w:space="0"/>
              <w:bottom w:val="single" w:color="auto" w:sz="4" w:space="0"/>
              <w:right w:val="single" w:color="auto" w:sz="4" w:space="0"/>
            </w:tcBorders>
            <w:vAlign w:val="center"/>
          </w:tcPr>
          <w:p w14:paraId="20CAFDD5">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落实政府采购政策要求</w:t>
            </w:r>
          </w:p>
        </w:tc>
        <w:tc>
          <w:tcPr>
            <w:tcW w:w="7162" w:type="dxa"/>
            <w:tcBorders>
              <w:top w:val="single" w:color="auto" w:sz="4" w:space="0"/>
              <w:left w:val="single" w:color="auto" w:sz="4" w:space="0"/>
              <w:bottom w:val="single" w:color="auto" w:sz="4" w:space="0"/>
              <w:right w:val="single" w:color="auto" w:sz="4" w:space="0"/>
            </w:tcBorders>
            <w:vAlign w:val="center"/>
          </w:tcPr>
          <w:p w14:paraId="17F6E68A">
            <w:pPr>
              <w:keepNext w:val="0"/>
              <w:keepLines w:val="0"/>
              <w:pageBreakBefore w:val="0"/>
              <w:widowControl w:val="0"/>
              <w:tabs>
                <w:tab w:val="left" w:pos="0"/>
              </w:tabs>
              <w:kinsoku/>
              <w:wordWrap w:val="0"/>
              <w:overflowPunct/>
              <w:topLinePunct/>
              <w:autoSpaceDE/>
              <w:autoSpaceDN/>
              <w:bidi w:val="0"/>
              <w:adjustRightInd w:val="0"/>
              <w:snapToGrid w:val="0"/>
              <w:spacing w:before="0" w:beforeAutospacing="0" w:after="0" w:line="360" w:lineRule="auto"/>
              <w:ind w:right="0" w:rightChars="0" w:firstLine="0" w:firstLineChars="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根据三财购（2022）9号《关于进一步加大政府采购支持中小企业发展有关事项的通知》的规定，本项目对小微型企业制造的产品价格给予20%的价格扣除优惠，对于中型企业产品的价格不予扣除。</w:t>
            </w:r>
          </w:p>
          <w:p w14:paraId="072FCEAA">
            <w:pPr>
              <w:keepNext w:val="0"/>
              <w:keepLines w:val="0"/>
              <w:pageBreakBefore w:val="0"/>
              <w:widowControl w:val="0"/>
              <w:tabs>
                <w:tab w:val="left" w:pos="0"/>
              </w:tabs>
              <w:kinsoku/>
              <w:wordWrap w:val="0"/>
              <w:overflowPunct/>
              <w:topLinePunct/>
              <w:autoSpaceDE/>
              <w:autoSpaceDN/>
              <w:bidi w:val="0"/>
              <w:adjustRightInd w:val="0"/>
              <w:snapToGrid w:val="0"/>
              <w:spacing w:before="0" w:beforeAutospacing="0" w:after="0" w:line="360" w:lineRule="auto"/>
              <w:ind w:right="0" w:rightChars="0" w:firstLine="0" w:firstLineChars="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对于监狱企业、残疾人福利性单位，视同为小型、微型企业，其投标产品给予20%的扣除。投标供应商提供产品为节能、环保产品的，</w:t>
            </w:r>
            <w:r>
              <w:rPr>
                <w:rFonts w:hint="eastAsia" w:ascii="宋体" w:hAnsi="宋体" w:cs="宋体"/>
                <w:color w:val="auto"/>
                <w:kern w:val="0"/>
                <w:sz w:val="24"/>
                <w:szCs w:val="24"/>
                <w:highlight w:val="none"/>
                <w:lang w:val="en-US" w:eastAsia="zh-CN"/>
              </w:rPr>
              <w:t>该</w:t>
            </w:r>
            <w:r>
              <w:rPr>
                <w:rFonts w:hint="eastAsia" w:ascii="宋体" w:hAnsi="宋体" w:eastAsia="宋体" w:cs="宋体"/>
                <w:color w:val="auto"/>
                <w:kern w:val="0"/>
                <w:sz w:val="24"/>
                <w:szCs w:val="24"/>
                <w:highlight w:val="none"/>
                <w:lang w:val="zh-CN"/>
              </w:rPr>
              <w:t>产品报价给与3%的扣除。</w:t>
            </w:r>
          </w:p>
          <w:p w14:paraId="673D1824">
            <w:pPr>
              <w:keepNext w:val="0"/>
              <w:keepLines w:val="0"/>
              <w:pageBreakBefore w:val="0"/>
              <w:widowControl w:val="0"/>
              <w:tabs>
                <w:tab w:val="left" w:pos="0"/>
              </w:tabs>
              <w:kinsoku/>
              <w:wordWrap w:val="0"/>
              <w:overflowPunct/>
              <w:topLinePunct/>
              <w:autoSpaceDE/>
              <w:autoSpaceDN/>
              <w:bidi w:val="0"/>
              <w:adjustRightInd w:val="0"/>
              <w:snapToGrid w:val="0"/>
              <w:spacing w:before="0" w:beforeAutospacing="0" w:after="0" w:line="360" w:lineRule="auto"/>
              <w:ind w:right="0" w:rightChars="0" w:firstLine="0" w:firstLineChars="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同一供应商，中小微企业产品、监狱企业产品、残疾人福利性单位产品的价格扣除优惠只享受一次，不得重复享受。</w:t>
            </w:r>
          </w:p>
        </w:tc>
      </w:tr>
      <w:tr w14:paraId="1E55D4F5">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21831E9">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w:t>
            </w:r>
          </w:p>
        </w:tc>
        <w:tc>
          <w:tcPr>
            <w:tcW w:w="1523" w:type="dxa"/>
            <w:tcBorders>
              <w:top w:val="single" w:color="auto" w:sz="4" w:space="0"/>
              <w:left w:val="single" w:color="auto" w:sz="4" w:space="0"/>
              <w:bottom w:val="single" w:color="auto" w:sz="4" w:space="0"/>
              <w:right w:val="single" w:color="auto" w:sz="4" w:space="0"/>
            </w:tcBorders>
            <w:vAlign w:val="center"/>
          </w:tcPr>
          <w:p w14:paraId="0DC680E6">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7162" w:type="dxa"/>
            <w:tcBorders>
              <w:top w:val="single" w:color="auto" w:sz="4" w:space="0"/>
              <w:left w:val="single" w:color="auto" w:sz="4" w:space="0"/>
              <w:bottom w:val="single" w:color="auto" w:sz="4" w:space="0"/>
              <w:right w:val="single" w:color="auto" w:sz="4" w:space="0"/>
            </w:tcBorders>
            <w:vAlign w:val="center"/>
          </w:tcPr>
          <w:p w14:paraId="43A21D9E">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left"/>
              <w:textAlignment w:val="auto"/>
              <w:rPr>
                <w:rFonts w:hint="eastAsia"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lang w:val="en-US" w:eastAsia="zh-CN"/>
              </w:rPr>
              <w:t>1</w:t>
            </w:r>
            <w:r>
              <w:rPr>
                <w:rFonts w:hint="eastAsia" w:ascii="宋体" w:hAnsi="宋体" w:eastAsia="宋体" w:cs="宋体"/>
                <w:color w:val="auto"/>
                <w:kern w:val="0"/>
                <w:sz w:val="24"/>
                <w:szCs w:val="24"/>
                <w:highlight w:val="none"/>
                <w:u w:color="000000"/>
              </w:rPr>
              <w:t>、各潜在投标人均可就本项目各个标段进行投标，但只能中一个标段；如投标人得分在多个标段均排名第一，评标委员会将按评标先后顺序推荐中标。确定一个标段后，该标段第一中标候选人在其他标段不再参与排名。</w:t>
            </w:r>
          </w:p>
          <w:p w14:paraId="64745986">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left"/>
              <w:textAlignment w:val="auto"/>
              <w:rPr>
                <w:rFonts w:hint="eastAsia"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lang w:val="en-US" w:eastAsia="zh-CN"/>
              </w:rPr>
              <w:t>2</w:t>
            </w:r>
            <w:r>
              <w:rPr>
                <w:rFonts w:hint="eastAsia" w:ascii="宋体" w:hAnsi="宋体" w:eastAsia="宋体" w:cs="宋体"/>
                <w:color w:val="auto"/>
                <w:kern w:val="0"/>
                <w:sz w:val="24"/>
                <w:szCs w:val="24"/>
                <w:highlight w:val="none"/>
                <w:u w:color="000000"/>
              </w:rPr>
              <w:t>、本项目为电子化、无纸化交易项目，开标时不再接受任何纸质资料，投标人按要求在三门峡市公共资源电子化交易系统中提交电子化投标文件即可。为保证您能成功参加竞标，请需仔细阅读招标文件和三门峡市公共资源交易中心官网业务办理指南。</w:t>
            </w:r>
          </w:p>
          <w:p w14:paraId="1E7A83A7">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left"/>
              <w:textAlignment w:val="auto"/>
              <w:rPr>
                <w:rFonts w:hint="eastAsia"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lang w:val="en-US" w:eastAsia="zh-CN"/>
              </w:rPr>
              <w:t>3</w:t>
            </w:r>
            <w:r>
              <w:rPr>
                <w:rFonts w:hint="eastAsia" w:ascii="宋体" w:hAnsi="宋体" w:eastAsia="宋体" w:cs="宋体"/>
                <w:color w:val="auto"/>
                <w:kern w:val="0"/>
                <w:sz w:val="24"/>
                <w:szCs w:val="24"/>
                <w:highlight w:val="none"/>
                <w:u w:color="000000"/>
              </w:rPr>
              <w:t>、在符合相关法律法规的前题下，招标文件的解释权归招标人所有。本招标文件中其他部分内容与投标供应商须知前附表不一致的，以投标供应商须知前附表为准。</w:t>
            </w:r>
          </w:p>
          <w:p w14:paraId="60D23453">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left"/>
              <w:textAlignment w:val="auto"/>
              <w:rPr>
                <w:rFonts w:hint="eastAsia"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lang w:val="en-US" w:eastAsia="zh-CN"/>
              </w:rPr>
              <w:t>4</w:t>
            </w:r>
            <w:r>
              <w:rPr>
                <w:rFonts w:hint="eastAsia" w:ascii="宋体" w:hAnsi="宋体" w:eastAsia="宋体" w:cs="宋体"/>
                <w:color w:val="auto"/>
                <w:kern w:val="0"/>
                <w:sz w:val="24"/>
                <w:szCs w:val="24"/>
                <w:highlight w:val="none"/>
                <w:u w:color="000000"/>
              </w:rPr>
              <w:t>、</w:t>
            </w:r>
            <w:r>
              <w:rPr>
                <w:rFonts w:hint="eastAsia" w:ascii="宋体" w:hAnsi="宋体" w:eastAsia="宋体" w:cs="宋体"/>
                <w:color w:val="auto"/>
                <w:kern w:val="0"/>
                <w:sz w:val="24"/>
                <w:szCs w:val="24"/>
                <w:highlight w:val="none"/>
                <w:lang w:val="zh-CN"/>
              </w:rPr>
              <w:t>投标供应商依据招标文件（含补充说明，如果有的话）并结合采购项目清单及技术参数制作投标文件。</w:t>
            </w:r>
          </w:p>
          <w:p w14:paraId="144BCAE4">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left"/>
              <w:textAlignment w:val="auto"/>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highlight w:val="none"/>
                <w:u w:color="000000"/>
                <w:lang w:val="en-US" w:eastAsia="zh-CN"/>
              </w:rPr>
              <w:t>5</w:t>
            </w:r>
            <w:r>
              <w:rPr>
                <w:rFonts w:hint="eastAsia" w:ascii="宋体" w:hAnsi="宋体" w:eastAsia="宋体" w:cs="宋体"/>
                <w:color w:val="auto"/>
                <w:kern w:val="0"/>
                <w:sz w:val="24"/>
                <w:szCs w:val="24"/>
                <w:highlight w:val="none"/>
                <w:u w:color="000000"/>
              </w:rPr>
              <w:t>、本招标文件未尽事宜，执行国家、省、市相关规定。</w:t>
            </w:r>
          </w:p>
        </w:tc>
      </w:tr>
      <w:tr w14:paraId="14D58322">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DF8EB12">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p>
        </w:tc>
        <w:tc>
          <w:tcPr>
            <w:tcW w:w="1523" w:type="dxa"/>
            <w:tcBorders>
              <w:top w:val="single" w:color="auto" w:sz="4" w:space="0"/>
              <w:left w:val="single" w:color="auto" w:sz="4" w:space="0"/>
              <w:bottom w:val="single" w:color="auto" w:sz="4" w:space="0"/>
              <w:right w:val="single" w:color="auto" w:sz="4" w:space="0"/>
            </w:tcBorders>
            <w:vAlign w:val="center"/>
          </w:tcPr>
          <w:p w14:paraId="51A66DB3">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电子化交易</w:t>
            </w:r>
          </w:p>
          <w:p w14:paraId="022B4ADB">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注意事项</w:t>
            </w:r>
          </w:p>
        </w:tc>
        <w:tc>
          <w:tcPr>
            <w:tcW w:w="7162" w:type="dxa"/>
            <w:tcBorders>
              <w:top w:val="single" w:color="auto" w:sz="4" w:space="0"/>
              <w:left w:val="single" w:color="auto" w:sz="4" w:space="0"/>
              <w:bottom w:val="single" w:color="auto" w:sz="4" w:space="0"/>
              <w:right w:val="single" w:color="auto" w:sz="4" w:space="0"/>
            </w:tcBorders>
            <w:vAlign w:val="center"/>
          </w:tcPr>
          <w:p w14:paraId="706026D4">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1" w:firstLineChars="1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为电子化、无纸化交易项目，投标文件是投标人、供应商（以下简称“投标供应商”）通过中心投标文件制作系统制作，并经过电子签章和加密后生成的电子版投标文件。投标供应商投标时，将不再接受任何纸质文件资料。</w:t>
            </w:r>
          </w:p>
          <w:p w14:paraId="4369BEFB">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1" w:firstLineChars="1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电子化投标文件工具请在三门峡市公共资源交易中心网首页“下载专区”下载。</w:t>
            </w:r>
          </w:p>
          <w:p w14:paraId="186B53CB">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1"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温馨提示：本项目为电子化、无纸化交易项目，开标时不接受任何纸质资料，为保证您能投标成功，请需仔细阅读以下条款。</w:t>
            </w:r>
          </w:p>
          <w:p w14:paraId="48319046">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1" w:firstLineChars="1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一、电子化投标</w:t>
            </w:r>
          </w:p>
          <w:p w14:paraId="1EB3B10C">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（一）电子化投标文件的签章</w:t>
            </w:r>
          </w:p>
          <w:p w14:paraId="72F8064F">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1、投标供应商在生成电子化投标文件后，应对电子化投标文件进行签章，未进行签章的视为无效投标。</w:t>
            </w:r>
          </w:p>
          <w:p w14:paraId="0DF6BE54">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2、投标文件中要求</w:t>
            </w:r>
            <w:r>
              <w:rPr>
                <w:rFonts w:hint="eastAsia" w:ascii="宋体" w:hAnsi="宋体" w:eastAsia="宋体" w:cs="宋体"/>
                <w:b/>
                <w:color w:val="auto"/>
                <w:sz w:val="24"/>
                <w:szCs w:val="24"/>
                <w:highlight w:val="none"/>
              </w:rPr>
              <w:t>法定代表人或授权委托人盖章的，</w:t>
            </w:r>
            <w:r>
              <w:rPr>
                <w:rFonts w:hint="eastAsia" w:ascii="宋体" w:hAnsi="宋体" w:eastAsia="宋体" w:cs="宋体"/>
                <w:color w:val="auto"/>
                <w:sz w:val="24"/>
                <w:szCs w:val="24"/>
                <w:highlight w:val="none"/>
              </w:rPr>
              <w:t>投标供应商在进行</w:t>
            </w:r>
            <w:r>
              <w:rPr>
                <w:rFonts w:hint="eastAsia" w:ascii="宋体" w:hAnsi="宋体" w:eastAsia="宋体" w:cs="宋体"/>
                <w:b/>
                <w:color w:val="auto"/>
                <w:sz w:val="24"/>
                <w:szCs w:val="24"/>
                <w:highlight w:val="none"/>
              </w:rPr>
              <w:t>电子化投标文件签章时，以签盖法定代表人签章为准。</w:t>
            </w:r>
            <w:r>
              <w:rPr>
                <w:rFonts w:hint="eastAsia" w:ascii="宋体" w:hAnsi="宋体" w:eastAsia="宋体" w:cs="宋体"/>
                <w:color w:val="auto"/>
                <w:sz w:val="24"/>
                <w:szCs w:val="24"/>
                <w:highlight w:val="none"/>
              </w:rPr>
              <w:t>电子化投标文件具体制作教材请投标供应商通过CA证书登录三门峡市公共资源电子化交易系统在右上角“交易智库”中查看。电子化投标文件工具请点击：</w:t>
            </w:r>
          </w:p>
          <w:p w14:paraId="055428A3">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http://gzjy.smx.gov.cn/fwzn/moreinfo.html进行下载。</w:t>
            </w:r>
          </w:p>
          <w:p w14:paraId="1DF91180">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（二）电子化投标文件的格式及上传投标</w:t>
            </w:r>
          </w:p>
          <w:p w14:paraId="3F6E652A">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供应商所上传的电子化投标文件，应是通过中心投标文件制作系统制作的，经过签章和加密后生成的电子版投标文件。生成的电子版投标文件包含用于投标文件上传的主文件（后缀为.smxtf）和用于应急补救的投标文件备份文件（后缀为.nsmxtf），备份文件主要用于电子化开标出现技术问题后的补救，请投标供应商随身携带。</w:t>
            </w:r>
          </w:p>
          <w:p w14:paraId="11B39C48">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注：投标供应商投报多个标段的，需要每个标段单独制作电子投标文件。</w:t>
            </w:r>
          </w:p>
          <w:p w14:paraId="6C11A6C7">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2、电子化投标文件应在投标截止时间前成功上传至三门峡市公共资源电子化交易系统。至投标截止时间止，仍未上传成功的电子化投标文件将不予接收。</w:t>
            </w:r>
          </w:p>
          <w:p w14:paraId="526F67C2">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535788C2">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技术联系电话：0398-3117871</w:t>
            </w:r>
          </w:p>
          <w:p w14:paraId="6DE1B2C4">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主体库咨询电话:0398-3117815</w:t>
            </w:r>
          </w:p>
          <w:p w14:paraId="18C75BE6">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CA证书制发:0398-2181635</w:t>
            </w:r>
          </w:p>
          <w:p w14:paraId="1C7E8261">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科技信息科:0398-3117095</w:t>
            </w:r>
          </w:p>
          <w:p w14:paraId="492D7F56">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（三）电子化项目开标、解密、唱标、评标</w:t>
            </w:r>
          </w:p>
          <w:p w14:paraId="428E8F56">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采用电子化、无纸化进行招标，本项目为不见面开标项目，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21DD7E6E">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投标文件采用一次加密方式。开标时，由投标供应商使用CA证书，在规定时间内对其电子化投标文件进行解密。每位投标供应商的解密时间为开标时间起30分钟内，如在规定时间内未完成解密的，其投标文件不予开标、唱标。</w:t>
            </w:r>
          </w:p>
          <w:p w14:paraId="0B464C3B">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如投标供应商携带CA证书至现场参加开标的，首先应按照中介服务机构指引，使用投标供应商CA证书对其电子化投标文件进行解密。</w:t>
            </w:r>
          </w:p>
          <w:p w14:paraId="2984E868">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3、电子化投标文件异常情况的处理</w:t>
            </w:r>
          </w:p>
          <w:p w14:paraId="3384B124">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如出现投标供应商的电子投标文件无法解密等异常情况，投标供应商应及时致电中介服务机构说明。投标文件异常，按以下步骤进行处理：</w:t>
            </w:r>
          </w:p>
          <w:p w14:paraId="4D7EF1DD">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（1）首先由技术人员进行问题排查。</w:t>
            </w:r>
          </w:p>
          <w:p w14:paraId="4715EE1C">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（2）经技术人员排查后，是投标供应商文件自身问题导致投标文件无法解密的，该投标文件将不予接收、解密和唱标。开标会议继续进行。</w:t>
            </w:r>
          </w:p>
          <w:p w14:paraId="1356FE31">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66F5ABC6">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4、待所有投标供应商投标文件解密完成后，由中介服务机构操作，对所有已解密投标文件进行唱标。</w:t>
            </w:r>
          </w:p>
          <w:p w14:paraId="56AAD766">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1" w:firstLineChars="1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投标供应商应保证在开标期间电话、电脑、网络能够正常工作，投标供应商因停电、电脑病毒、网络堵塞等原因，未在规定的解密时间内对投标文件进行解密的，其投标文件不予接收、唱标。</w:t>
            </w:r>
          </w:p>
          <w:p w14:paraId="21C882CC">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开标时投标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投标供应商的质疑并做好书面记录。投标供应商未在规定时间内提出质疑的，视为认可唱标内容。</w:t>
            </w:r>
          </w:p>
          <w:p w14:paraId="5DBA757A">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评标时，评标委员会对电子化投标文件有质疑的，将通过电子化交易系统对投标供应商发起质疑，并在监督人员的监督下，用免提模式致电需要答复的投标供应商进行详细质询。质疑回复内容确认后，投标供应商的回复文件必须以经过投标供应商和其法定代表人签章的PDF格式文件为准，并通过电子化交易系统提交至评标委员会。</w:t>
            </w:r>
          </w:p>
          <w:p w14:paraId="1540E8DB">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7、如评标委员会对需要回复的投标供应商连续三次致电未接通的，视为投标供应商放弃回复，评标委员会将自行对需要回复的内容进行认定。</w:t>
            </w:r>
          </w:p>
          <w:p w14:paraId="5EEE00D2">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b/>
                <w:color w:val="auto"/>
                <w:sz w:val="24"/>
                <w:szCs w:val="24"/>
                <w:highlight w:val="none"/>
              </w:rPr>
              <w:t>相关证书原件的提交</w:t>
            </w:r>
          </w:p>
          <w:p w14:paraId="5944658D">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供应商承担责任。</w:t>
            </w:r>
          </w:p>
          <w:p w14:paraId="55C6F7EA">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投标供应商需保证上传内容齐全，真实有效，原件扫描件清晰可辨。因投标供应商上传原因导致应得分项而未得分或资格审查不合格等情况的，由投标供应商自行承担责任。</w:t>
            </w:r>
          </w:p>
          <w:p w14:paraId="3709B009">
            <w:pPr>
              <w:keepNext w:val="0"/>
              <w:keepLines w:val="0"/>
              <w:pageBreakBefore w:val="0"/>
              <w:widowControl w:val="0"/>
              <w:kinsoku/>
              <w:wordWrap w:val="0"/>
              <w:overflowPunct/>
              <w:topLinePunct/>
              <w:autoSpaceDE/>
              <w:autoSpaceDN/>
              <w:bidi w:val="0"/>
              <w:adjustRightInd/>
              <w:snapToGrid w:val="0"/>
              <w:spacing w:before="0" w:beforeAutospacing="0" w:after="0" w:line="360" w:lineRule="auto"/>
              <w:ind w:right="0" w:rightChars="0" w:firstLine="241" w:firstLineChars="1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提示：本项目为电子化、无纸化交易项目，开标时不再接受任何纸质资料，为保证您能投标成功，请需仔细阅读以上条款。</w:t>
            </w:r>
          </w:p>
        </w:tc>
      </w:tr>
    </w:tbl>
    <w:p w14:paraId="72865057">
      <w:pPr>
        <w:shd w:val="clear" w:color="auto" w:fill="auto"/>
        <w:wordWrap w:val="0"/>
        <w:topLinePunct/>
        <w:snapToGrid/>
        <w:spacing w:line="360" w:lineRule="auto"/>
        <w:ind w:right="0" w:rightChars="0" w:firstLine="562" w:firstLineChars="200"/>
        <w:jc w:val="left"/>
        <w:outlineLvl w:val="0"/>
        <w:rPr>
          <w:rFonts w:hint="eastAsia" w:ascii="宋体" w:hAnsi="宋体" w:cs="宋体"/>
          <w:b/>
          <w:bCs/>
          <w:color w:val="auto"/>
          <w:sz w:val="28"/>
          <w:szCs w:val="28"/>
          <w:highlight w:val="none"/>
        </w:rPr>
      </w:pPr>
      <w:bookmarkStart w:id="16" w:name="_Toc1558"/>
      <w:r>
        <w:rPr>
          <w:rFonts w:hint="eastAsia" w:ascii="宋体" w:hAnsi="宋体" w:cs="宋体"/>
          <w:b/>
          <w:bCs/>
          <w:color w:val="auto"/>
          <w:sz w:val="28"/>
          <w:szCs w:val="28"/>
          <w:highlight w:val="none"/>
        </w:rPr>
        <w:t>一、总则</w:t>
      </w:r>
      <w:bookmarkEnd w:id="16"/>
    </w:p>
    <w:p w14:paraId="0A00C1AB">
      <w:pPr>
        <w:shd w:val="clear" w:color="auto" w:fill="auto"/>
        <w:wordWrap w:val="0"/>
        <w:topLinePunct/>
        <w:snapToGrid/>
        <w:spacing w:line="360" w:lineRule="auto"/>
        <w:ind w:right="0" w:rightChars="0" w:firstLine="480" w:firstLineChars="200"/>
        <w:jc w:val="left"/>
        <w:outlineLvl w:val="1"/>
        <w:rPr>
          <w:rFonts w:hint="eastAsia" w:ascii="宋体" w:hAnsi="宋体" w:cs="宋体"/>
          <w:b w:val="0"/>
          <w:color w:val="auto"/>
          <w:sz w:val="24"/>
          <w:szCs w:val="24"/>
          <w:highlight w:val="none"/>
        </w:rPr>
      </w:pPr>
      <w:bookmarkStart w:id="17" w:name="_Toc17436"/>
      <w:r>
        <w:rPr>
          <w:rFonts w:hint="eastAsia" w:ascii="宋体" w:hAnsi="宋体" w:cs="宋体"/>
          <w:b w:val="0"/>
          <w:bCs w:val="0"/>
          <w:color w:val="auto"/>
          <w:sz w:val="24"/>
          <w:szCs w:val="24"/>
          <w:highlight w:val="none"/>
        </w:rPr>
        <w:t>1、</w:t>
      </w:r>
      <w:r>
        <w:rPr>
          <w:rFonts w:hint="eastAsia" w:ascii="宋体" w:hAnsi="宋体" w:cs="宋体"/>
          <w:b w:val="0"/>
          <w:color w:val="auto"/>
          <w:sz w:val="24"/>
          <w:szCs w:val="24"/>
          <w:highlight w:val="none"/>
        </w:rPr>
        <w:t>项目概况</w:t>
      </w:r>
      <w:bookmarkEnd w:id="17"/>
    </w:p>
    <w:p w14:paraId="11D08D0D">
      <w:pPr>
        <w:wordWrap w:val="0"/>
        <w:topLinePunct/>
        <w:spacing w:line="360" w:lineRule="auto"/>
        <w:ind w:firstLine="480" w:firstLineChars="200"/>
        <w:jc w:val="left"/>
        <w:rPr>
          <w:rFonts w:hint="eastAsia" w:ascii="宋体" w:hAnsi="宋体" w:cs="宋体"/>
          <w:bCs w:val="0"/>
          <w:color w:val="auto"/>
          <w:sz w:val="24"/>
          <w:szCs w:val="24"/>
          <w:highlight w:val="none"/>
        </w:rPr>
      </w:pPr>
      <w:r>
        <w:rPr>
          <w:rFonts w:hint="eastAsia" w:ascii="宋体" w:hAnsi="宋体" w:cs="宋体"/>
          <w:color w:val="auto"/>
          <w:sz w:val="24"/>
          <w:szCs w:val="24"/>
          <w:highlight w:val="none"/>
        </w:rPr>
        <w:t>1.1、采购内容：</w:t>
      </w:r>
      <w:r>
        <w:rPr>
          <w:rFonts w:hint="eastAsia" w:ascii="宋体" w:hAnsi="宋体" w:eastAsia="宋体" w:cs="宋体"/>
          <w:bCs w:val="0"/>
          <w:color w:val="auto"/>
          <w:sz w:val="24"/>
          <w:szCs w:val="24"/>
          <w:highlight w:val="none"/>
        </w:rPr>
        <w:t>本项目为</w:t>
      </w:r>
      <w:r>
        <w:rPr>
          <w:rFonts w:hint="eastAsia" w:ascii="宋体" w:hAnsi="宋体" w:cs="宋体"/>
          <w:bCs w:val="0"/>
          <w:color w:val="auto"/>
          <w:sz w:val="24"/>
          <w:szCs w:val="24"/>
          <w:highlight w:val="none"/>
          <w:lang w:eastAsia="zh-CN"/>
        </w:rPr>
        <w:t>灵宝市城市管理局灵宝市生活垃圾分类收运设备及环卫车辆更新项目（设备车辆购置第一批）项目</w:t>
      </w:r>
      <w:r>
        <w:rPr>
          <w:rFonts w:hint="eastAsia" w:ascii="宋体" w:hAnsi="宋体" w:eastAsia="宋体" w:cs="宋体"/>
          <w:bCs w:val="0"/>
          <w:color w:val="auto"/>
          <w:sz w:val="24"/>
          <w:szCs w:val="24"/>
          <w:highlight w:val="none"/>
        </w:rPr>
        <w:t>，主要采购：新能源18吨钩臂车8辆、12吨垃圾收集车6辆、18吨垃圾收集车2辆、18吨深度洗扫车1辆、12吨洗扫车2辆、18吨洗扫车6辆、18吨雾炮车2辆、25吨洒水车2辆、18吨洒水车2辆、18吨洒水车（高压）2辆、18吨吸污车1辆、12方移动压缩箱25套（含喷淋除臭装置15套）、14方高位水平直压式垃圾压缩设备2套；具体采购内容详见第三章项目采购需求。</w:t>
      </w:r>
    </w:p>
    <w:p w14:paraId="2B9BEB9C">
      <w:pPr>
        <w:wordWrap w:val="0"/>
        <w:topLinePunct/>
        <w:adjustRightInd/>
        <w:snapToGrid/>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1.2、预算金额：</w:t>
      </w:r>
    </w:p>
    <w:p w14:paraId="14A8C474">
      <w:pPr>
        <w:wordWrap w:val="0"/>
        <w:topLinePunct/>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一标段：包最高限价</w:t>
      </w:r>
      <w:r>
        <w:rPr>
          <w:rFonts w:hint="eastAsia" w:ascii="宋体" w:hAnsi="宋体" w:cs="宋体"/>
          <w:color w:val="auto"/>
          <w:sz w:val="24"/>
          <w:szCs w:val="24"/>
          <w:highlight w:val="none"/>
          <w:lang w:eastAsia="zh-CN"/>
        </w:rPr>
        <w:t>300万元</w:t>
      </w:r>
    </w:p>
    <w:p w14:paraId="010EA327">
      <w:pPr>
        <w:wordWrap w:val="0"/>
        <w:topLinePunct/>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二标段：包最高限价</w:t>
      </w:r>
      <w:r>
        <w:rPr>
          <w:rFonts w:hint="eastAsia" w:ascii="宋体" w:hAnsi="宋体" w:cs="宋体"/>
          <w:color w:val="auto"/>
          <w:sz w:val="24"/>
          <w:szCs w:val="24"/>
          <w:highlight w:val="none"/>
          <w:lang w:eastAsia="zh-CN"/>
        </w:rPr>
        <w:t>625万元</w:t>
      </w:r>
    </w:p>
    <w:p w14:paraId="015D547E">
      <w:pPr>
        <w:wordWrap w:val="0"/>
        <w:topLinePunct/>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三标段：包最高限价</w:t>
      </w:r>
      <w:r>
        <w:rPr>
          <w:rFonts w:hint="eastAsia" w:ascii="宋体" w:hAnsi="宋体" w:cs="宋体"/>
          <w:color w:val="auto"/>
          <w:sz w:val="24"/>
          <w:szCs w:val="24"/>
          <w:highlight w:val="none"/>
          <w:lang w:eastAsia="zh-CN"/>
        </w:rPr>
        <w:t>1722万元</w:t>
      </w:r>
    </w:p>
    <w:p w14:paraId="75E0730F">
      <w:pPr>
        <w:wordWrap w:val="0"/>
        <w:topLinePunct/>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四标段：包最高限价</w:t>
      </w:r>
      <w:r>
        <w:rPr>
          <w:rFonts w:hint="eastAsia" w:ascii="宋体" w:hAnsi="宋体" w:cs="宋体"/>
          <w:color w:val="auto"/>
          <w:sz w:val="24"/>
          <w:szCs w:val="24"/>
          <w:highlight w:val="none"/>
          <w:lang w:eastAsia="zh-CN"/>
        </w:rPr>
        <w:t>2002万元</w:t>
      </w:r>
    </w:p>
    <w:p w14:paraId="53085353">
      <w:pPr>
        <w:wordWrap w:val="0"/>
        <w:topLinePunct/>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五标段：包最高限价</w:t>
      </w:r>
      <w:r>
        <w:rPr>
          <w:rFonts w:hint="eastAsia" w:ascii="宋体" w:hAnsi="宋体" w:cs="宋体"/>
          <w:color w:val="auto"/>
          <w:sz w:val="24"/>
          <w:szCs w:val="24"/>
          <w:highlight w:val="none"/>
          <w:lang w:eastAsia="zh-CN"/>
        </w:rPr>
        <w:t>263.6万元</w:t>
      </w:r>
    </w:p>
    <w:p w14:paraId="36817FC7">
      <w:pPr>
        <w:wordWrap w:val="0"/>
        <w:topLinePunct/>
        <w:spacing w:line="360" w:lineRule="auto"/>
        <w:ind w:firstLine="480" w:firstLineChars="200"/>
        <w:jc w:val="left"/>
        <w:rPr>
          <w:rFonts w:hint="eastAsia" w:ascii="宋体" w:hAnsi="宋体" w:cs="宋体"/>
          <w:color w:val="auto"/>
          <w:kern w:val="2"/>
          <w:sz w:val="24"/>
          <w:szCs w:val="24"/>
          <w:highlight w:val="none"/>
          <w:u w:color="auto"/>
        </w:rPr>
      </w:pPr>
      <w:r>
        <w:rPr>
          <w:rFonts w:hint="eastAsia" w:ascii="宋体" w:hAnsi="宋体" w:cs="宋体"/>
          <w:color w:val="auto"/>
          <w:sz w:val="24"/>
          <w:szCs w:val="24"/>
          <w:highlight w:val="none"/>
        </w:rPr>
        <w:t>1.3、资金来源：财政资金，已落实</w:t>
      </w:r>
    </w:p>
    <w:p w14:paraId="42DD009D">
      <w:pPr>
        <w:wordWrap w:val="0"/>
        <w:topLinePunct/>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1.4、交货期限：</w:t>
      </w:r>
      <w:r>
        <w:rPr>
          <w:rFonts w:hint="eastAsia" w:ascii="宋体" w:hAnsi="宋体" w:cs="宋体"/>
          <w:color w:val="auto"/>
          <w:sz w:val="24"/>
          <w:szCs w:val="24"/>
          <w:highlight w:val="none"/>
          <w:lang w:eastAsia="zh-CN"/>
        </w:rPr>
        <w:t>自签订合同后45日历天内完成供货、安装及调试</w:t>
      </w:r>
      <w:r>
        <w:rPr>
          <w:rFonts w:hint="eastAsia" w:ascii="宋体" w:hAnsi="宋体" w:cs="宋体"/>
          <w:color w:val="auto"/>
          <w:sz w:val="24"/>
          <w:szCs w:val="24"/>
          <w:highlight w:val="none"/>
        </w:rPr>
        <w:t>。</w:t>
      </w:r>
    </w:p>
    <w:p w14:paraId="62CA0E63">
      <w:pPr>
        <w:wordWrap w:val="0"/>
        <w:topLinePunct/>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1.5、质量要求：符合国家或行业规定的合格标准。</w:t>
      </w:r>
    </w:p>
    <w:p w14:paraId="249CEFB9">
      <w:pPr>
        <w:wordWrap w:val="0"/>
        <w:topLinePunct/>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1.6、质保期：</w:t>
      </w:r>
      <w:r>
        <w:rPr>
          <w:rFonts w:hint="eastAsia" w:ascii="宋体" w:hAnsi="宋体" w:cs="宋体"/>
          <w:color w:val="auto"/>
          <w:sz w:val="24"/>
          <w:szCs w:val="24"/>
          <w:highlight w:val="none"/>
          <w:lang w:eastAsia="zh-CN"/>
        </w:rPr>
        <w:t>整车质保一年，三电（电池、电机、电控）质保八年或20万公里。</w:t>
      </w:r>
    </w:p>
    <w:p w14:paraId="423F9A62">
      <w:pPr>
        <w:wordWrap w:val="0"/>
        <w:topLinePunct/>
        <w:spacing w:line="360" w:lineRule="auto"/>
        <w:ind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1.7、交货地点：采购人指定地点。</w:t>
      </w:r>
    </w:p>
    <w:p w14:paraId="2B1CBEA2">
      <w:pPr>
        <w:wordWrap w:val="0"/>
        <w:topLinePunct/>
        <w:spacing w:line="360" w:lineRule="auto"/>
        <w:ind w:firstLine="480" w:firstLineChars="200"/>
        <w:jc w:val="left"/>
        <w:outlineLvl w:val="1"/>
        <w:rPr>
          <w:rFonts w:hint="eastAsia" w:ascii="宋体" w:hAnsi="宋体" w:cs="宋体"/>
          <w:b w:val="0"/>
          <w:bCs w:val="0"/>
          <w:color w:val="auto"/>
          <w:sz w:val="24"/>
          <w:szCs w:val="24"/>
          <w:highlight w:val="none"/>
        </w:rPr>
      </w:pPr>
      <w:bookmarkStart w:id="18" w:name="_Toc26265"/>
      <w:r>
        <w:rPr>
          <w:rFonts w:hint="eastAsia" w:ascii="宋体" w:hAnsi="宋体" w:cs="宋体"/>
          <w:b w:val="0"/>
          <w:bCs w:val="0"/>
          <w:color w:val="auto"/>
          <w:sz w:val="24"/>
          <w:szCs w:val="24"/>
          <w:highlight w:val="none"/>
        </w:rPr>
        <w:t>2、投标费用</w:t>
      </w:r>
      <w:bookmarkEnd w:id="18"/>
    </w:p>
    <w:p w14:paraId="4D759B62">
      <w:pPr>
        <w:wordWrap w:val="0"/>
        <w:topLinePunct/>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2.1</w:t>
      </w:r>
      <w:r>
        <w:rPr>
          <w:rFonts w:hint="eastAsia" w:ascii="宋体" w:hAnsi="宋体" w:cs="宋体"/>
          <w:color w:val="auto"/>
          <w:sz w:val="24"/>
          <w:szCs w:val="24"/>
          <w:highlight w:val="none"/>
        </w:rPr>
        <w:t>投标供应商承担其投标文件编制与递交所涉及的一切费用。在任何情况下采购人和招标代理机构对上述费用均不承担任何责任。</w:t>
      </w:r>
    </w:p>
    <w:p w14:paraId="01FB1926">
      <w:pPr>
        <w:wordWrap w:val="0"/>
        <w:topLinePunct/>
        <w:spacing w:line="360" w:lineRule="auto"/>
        <w:ind w:firstLine="480" w:firstLineChars="200"/>
        <w:jc w:val="left"/>
        <w:outlineLvl w:val="1"/>
        <w:rPr>
          <w:rFonts w:hint="eastAsia" w:ascii="宋体" w:hAnsi="宋体" w:cs="宋体"/>
          <w:b w:val="0"/>
          <w:color w:val="auto"/>
          <w:sz w:val="24"/>
          <w:szCs w:val="24"/>
          <w:highlight w:val="none"/>
        </w:rPr>
      </w:pPr>
      <w:bookmarkStart w:id="19" w:name="_Toc30630"/>
      <w:r>
        <w:rPr>
          <w:rFonts w:hint="eastAsia" w:ascii="宋体" w:hAnsi="宋体" w:cs="宋体"/>
          <w:b w:val="0"/>
          <w:bCs w:val="0"/>
          <w:color w:val="auto"/>
          <w:sz w:val="24"/>
          <w:szCs w:val="24"/>
          <w:highlight w:val="none"/>
        </w:rPr>
        <w:t>3、定义及解释</w:t>
      </w:r>
      <w:bookmarkEnd w:id="19"/>
    </w:p>
    <w:p w14:paraId="7479B5B7">
      <w:pPr>
        <w:wordWrap w:val="0"/>
        <w:topLinePunct/>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3.1、货物：系指投标供应商按招标文件规定而提供的设备、设施、备品备件、手册及其他有关技术资料和材料。</w:t>
      </w:r>
    </w:p>
    <w:p w14:paraId="73D57E11">
      <w:pPr>
        <w:wordWrap w:val="0"/>
        <w:topLinePunct/>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3.2、服务：系指投标供应商提供的安装、调试、验收、培训、质保期服务、与货物有关的运输和保险及其他伴随服务。</w:t>
      </w:r>
    </w:p>
    <w:p w14:paraId="0A7F6276">
      <w:pPr>
        <w:wordWrap w:val="0"/>
        <w:topLinePunct/>
        <w:spacing w:line="360" w:lineRule="auto"/>
        <w:ind w:right="0" w:righ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3.3、采购人：</w:t>
      </w:r>
      <w:r>
        <w:rPr>
          <w:rFonts w:hint="eastAsia" w:ascii="宋体" w:hAnsi="宋体" w:cs="宋体"/>
          <w:color w:val="auto"/>
          <w:sz w:val="24"/>
          <w:szCs w:val="24"/>
          <w:highlight w:val="none"/>
          <w:lang w:eastAsia="zh-CN"/>
        </w:rPr>
        <w:t>灵宝市城市管理局</w:t>
      </w:r>
    </w:p>
    <w:p w14:paraId="60E984B1">
      <w:pPr>
        <w:wordWrap w:val="0"/>
        <w:topLinePunct/>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3.4、</w:t>
      </w:r>
      <w:r>
        <w:rPr>
          <w:rFonts w:hint="eastAsia" w:ascii="宋体" w:hAnsi="宋体" w:cs="宋体"/>
          <w:color w:val="auto"/>
          <w:sz w:val="24"/>
          <w:szCs w:val="24"/>
          <w:highlight w:val="none"/>
        </w:rPr>
        <w:t>投标供应商：是指响应招标、参加投标竞争的法人或者其他组织。</w:t>
      </w:r>
    </w:p>
    <w:p w14:paraId="1E1DCBE1">
      <w:pPr>
        <w:wordWrap w:val="0"/>
        <w:topLinePunct/>
        <w:spacing w:line="360" w:lineRule="auto"/>
        <w:ind w:right="0" w:rightChars="0" w:firstLine="480" w:firstLineChars="200"/>
        <w:jc w:val="left"/>
        <w:rPr>
          <w:rFonts w:hint="eastAsia" w:ascii="宋体" w:hAnsi="宋体" w:eastAsia="宋体" w:cs="宋体"/>
          <w:bCs w:val="0"/>
          <w:color w:val="auto"/>
          <w:sz w:val="24"/>
          <w:szCs w:val="24"/>
          <w:highlight w:val="none"/>
          <w:lang w:eastAsia="zh-CN"/>
        </w:rPr>
      </w:pPr>
      <w:r>
        <w:rPr>
          <w:rFonts w:hint="eastAsia" w:ascii="宋体" w:hAnsi="宋体" w:cs="宋体"/>
          <w:bCs w:val="0"/>
          <w:color w:val="auto"/>
          <w:sz w:val="24"/>
          <w:szCs w:val="24"/>
          <w:highlight w:val="none"/>
        </w:rPr>
        <w:t>3.5、</w:t>
      </w:r>
      <w:r>
        <w:rPr>
          <w:rFonts w:hint="eastAsia" w:ascii="宋体" w:hAnsi="宋体" w:cs="宋体"/>
          <w:color w:val="auto"/>
          <w:sz w:val="24"/>
          <w:szCs w:val="24"/>
          <w:highlight w:val="none"/>
        </w:rPr>
        <w:t>采购代理机构：</w:t>
      </w:r>
      <w:r>
        <w:rPr>
          <w:rFonts w:hint="eastAsia" w:ascii="宋体" w:hAnsi="宋体" w:cs="宋体"/>
          <w:color w:val="auto"/>
          <w:sz w:val="24"/>
          <w:szCs w:val="24"/>
          <w:highlight w:val="none"/>
          <w:lang w:eastAsia="zh-CN"/>
        </w:rPr>
        <w:t>红城国际工程项目管理有限公司</w:t>
      </w:r>
    </w:p>
    <w:p w14:paraId="615A712A">
      <w:pPr>
        <w:wordWrap w:val="0"/>
        <w:topLinePunct/>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3.6、</w:t>
      </w:r>
      <w:r>
        <w:rPr>
          <w:rFonts w:hint="eastAsia" w:ascii="宋体" w:hAnsi="宋体" w:cs="宋体"/>
          <w:color w:val="auto"/>
          <w:sz w:val="24"/>
          <w:szCs w:val="24"/>
          <w:highlight w:val="none"/>
        </w:rPr>
        <w:t>评标委员会：是指按照《中华人民共和国政府采购法》和《评标委员会和评标方法暂行规定》的规定组建的专门负责本次招标的评标工作的临时机构。</w:t>
      </w:r>
    </w:p>
    <w:p w14:paraId="0CA00DF6">
      <w:pPr>
        <w:wordWrap w:val="0"/>
        <w:topLinePunct/>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3.7、</w:t>
      </w:r>
      <w:r>
        <w:rPr>
          <w:rFonts w:hint="eastAsia" w:ascii="宋体" w:hAnsi="宋体" w:cs="宋体"/>
          <w:color w:val="auto"/>
          <w:sz w:val="24"/>
          <w:szCs w:val="24"/>
          <w:highlight w:val="none"/>
        </w:rPr>
        <w:t>日期、天数、时间：无特别说明时是指公历日及北京时间。</w:t>
      </w:r>
    </w:p>
    <w:p w14:paraId="6F93F7F6">
      <w:pPr>
        <w:wordWrap w:val="0"/>
        <w:topLinePunct/>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3.8、</w:t>
      </w:r>
      <w:r>
        <w:rPr>
          <w:rFonts w:hint="eastAsia" w:ascii="宋体" w:hAnsi="宋体" w:cs="宋体"/>
          <w:color w:val="auto"/>
          <w:sz w:val="24"/>
          <w:szCs w:val="24"/>
          <w:highlight w:val="none"/>
        </w:rPr>
        <w:t>招标文件中所规定的“书面形式”，是指任何手写的、打印或印刷的通讯，不包括传真发送。</w:t>
      </w:r>
    </w:p>
    <w:p w14:paraId="539A69DF">
      <w:pPr>
        <w:shd w:val="clear" w:color="auto" w:fill="auto"/>
        <w:wordWrap w:val="0"/>
        <w:topLinePunct/>
        <w:snapToGrid/>
        <w:spacing w:line="360" w:lineRule="auto"/>
        <w:ind w:right="0" w:rightChars="0" w:firstLine="480" w:firstLineChars="200"/>
        <w:jc w:val="left"/>
        <w:outlineLvl w:val="1"/>
        <w:rPr>
          <w:rFonts w:hint="eastAsia" w:ascii="宋体" w:hAnsi="宋体" w:cs="宋体"/>
          <w:b w:val="0"/>
          <w:bCs w:val="0"/>
          <w:color w:val="auto"/>
          <w:sz w:val="24"/>
          <w:szCs w:val="24"/>
          <w:highlight w:val="none"/>
        </w:rPr>
      </w:pPr>
      <w:bookmarkStart w:id="20" w:name="_Toc466759708"/>
      <w:bookmarkStart w:id="21" w:name="_Toc28763"/>
      <w:r>
        <w:rPr>
          <w:rFonts w:hint="eastAsia" w:ascii="宋体" w:hAnsi="宋体" w:cs="宋体"/>
          <w:b w:val="0"/>
          <w:bCs w:val="0"/>
          <w:color w:val="auto"/>
          <w:sz w:val="24"/>
          <w:szCs w:val="24"/>
          <w:highlight w:val="none"/>
        </w:rPr>
        <w:t>4、投标人资格</w:t>
      </w:r>
      <w:bookmarkEnd w:id="20"/>
      <w:r>
        <w:rPr>
          <w:rFonts w:hint="eastAsia" w:ascii="宋体" w:hAnsi="宋体" w:cs="宋体"/>
          <w:b w:val="0"/>
          <w:bCs w:val="0"/>
          <w:color w:val="auto"/>
          <w:sz w:val="24"/>
          <w:szCs w:val="24"/>
          <w:highlight w:val="none"/>
        </w:rPr>
        <w:t>条件</w:t>
      </w:r>
      <w:bookmarkEnd w:id="21"/>
    </w:p>
    <w:p w14:paraId="27AB334D">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4.1、投标人应具备的资质条件见投标人须知前附表；</w:t>
      </w:r>
    </w:p>
    <w:p w14:paraId="406E6F4C">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4.2、本项目不接受联合体投标；</w:t>
      </w:r>
    </w:p>
    <w:p w14:paraId="259493C4">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4.3、投标人不得存在下列情形之一：</w:t>
      </w:r>
    </w:p>
    <w:p w14:paraId="701395FF">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（1）与采购人存在利害关系可能影响招标公正性；</w:t>
      </w:r>
    </w:p>
    <w:p w14:paraId="1C636FBE">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（2）法定代表人（单位负责人）为同一人或者存在控股、管理关系的不同法人或其他组织同时参加投标；</w:t>
      </w:r>
    </w:p>
    <w:p w14:paraId="7D8C88E2">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（3）与其他投标人代理同一个制造商同一品牌同一型号的设备投标；</w:t>
      </w:r>
    </w:p>
    <w:p w14:paraId="0C7EC1DE">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（4）为本招标项目的招标代理机构，或者由本招标项目的招标代理机构代理投标，或者接受过本招标项目的招标代理机构为本招标项目提供的咨询；</w:t>
      </w:r>
    </w:p>
    <w:p w14:paraId="71A06B42">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（5）为本工程项目的相关监理人，或者与本工程项目的相关监理人存在隶属关系或者其他利害关系；</w:t>
      </w:r>
    </w:p>
    <w:p w14:paraId="72835200">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（6）为本招标项目提供过设计、编制技术规范和其他文件的咨询服务，或者接受为本招标项目提供过设计、编制技术规范和其他文件的咨询服务的单位为本招标项目编制投标文件或提供咨询服务；</w:t>
      </w:r>
    </w:p>
    <w:p w14:paraId="1813654D">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 xml:space="preserve">（7）被依法暂停或者取消投标资格； </w:t>
      </w:r>
    </w:p>
    <w:p w14:paraId="6CADE169">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（8）被责令停产停业、暂扣或者吊销许可证、暂扣或者吊销执照；</w:t>
      </w:r>
    </w:p>
    <w:p w14:paraId="5E7381FA">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（9）进入清算程序，或被宣告破产，或其他丧失履约能力的情形；</w:t>
      </w:r>
    </w:p>
    <w:p w14:paraId="54DD482E">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（10）在最近三年内发生重大产品质量问题；</w:t>
      </w:r>
    </w:p>
    <w:p w14:paraId="533FE41D">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（11）法律法规或投标人须知前附表规定的其他情形。</w:t>
      </w:r>
    </w:p>
    <w:p w14:paraId="6A09010F">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4.4、</w:t>
      </w:r>
      <w:r>
        <w:rPr>
          <w:rFonts w:hint="eastAsia" w:ascii="宋体" w:hAnsi="宋体" w:cs="宋体"/>
          <w:color w:val="auto"/>
          <w:sz w:val="24"/>
          <w:szCs w:val="24"/>
          <w:highlight w:val="none"/>
        </w:rPr>
        <w:t>投标供应商应保证在投标文件中所提交的资料和数据是真实的。</w:t>
      </w:r>
    </w:p>
    <w:p w14:paraId="5B9BB401">
      <w:pPr>
        <w:shd w:val="clear" w:color="auto" w:fill="auto"/>
        <w:wordWrap w:val="0"/>
        <w:topLinePunct/>
        <w:snapToGrid/>
        <w:spacing w:line="360" w:lineRule="auto"/>
        <w:ind w:right="0" w:rightChars="0" w:firstLine="480" w:firstLineChars="200"/>
        <w:jc w:val="left"/>
        <w:outlineLvl w:val="1"/>
        <w:rPr>
          <w:rFonts w:hint="eastAsia" w:ascii="宋体" w:hAnsi="宋体" w:cs="宋体"/>
          <w:b w:val="0"/>
          <w:bCs w:val="0"/>
          <w:color w:val="auto"/>
          <w:sz w:val="24"/>
          <w:szCs w:val="24"/>
          <w:highlight w:val="none"/>
        </w:rPr>
      </w:pPr>
      <w:bookmarkStart w:id="22" w:name="_Toc600"/>
      <w:r>
        <w:rPr>
          <w:rFonts w:hint="eastAsia" w:ascii="宋体" w:hAnsi="宋体" w:cs="宋体"/>
          <w:b w:val="0"/>
          <w:bCs w:val="0"/>
          <w:color w:val="auto"/>
          <w:sz w:val="24"/>
          <w:szCs w:val="24"/>
          <w:highlight w:val="none"/>
        </w:rPr>
        <w:t>5、合格的投标供应商</w:t>
      </w:r>
      <w:bookmarkEnd w:id="22"/>
    </w:p>
    <w:p w14:paraId="16ED122F">
      <w:pPr>
        <w:shd w:val="clear" w:color="auto" w:fill="auto"/>
        <w:wordWrap w:val="0"/>
        <w:topLinePunct/>
        <w:snapToGrid/>
        <w:spacing w:line="360" w:lineRule="auto"/>
        <w:ind w:right="0" w:righ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详见第一章“招标公告”。</w:t>
      </w:r>
    </w:p>
    <w:p w14:paraId="7705DC86">
      <w:pPr>
        <w:shd w:val="clear" w:color="auto" w:fill="auto"/>
        <w:wordWrap w:val="0"/>
        <w:topLinePunct/>
        <w:snapToGrid/>
        <w:spacing w:line="360" w:lineRule="auto"/>
        <w:ind w:right="0" w:rightChars="0" w:firstLine="562" w:firstLineChars="200"/>
        <w:jc w:val="left"/>
        <w:outlineLvl w:val="0"/>
        <w:rPr>
          <w:rFonts w:hint="eastAsia" w:ascii="宋体" w:hAnsi="宋体" w:cs="宋体"/>
          <w:b/>
          <w:bCs/>
          <w:color w:val="auto"/>
          <w:sz w:val="28"/>
          <w:szCs w:val="28"/>
          <w:highlight w:val="none"/>
        </w:rPr>
      </w:pPr>
      <w:bookmarkStart w:id="23" w:name="_Toc6400"/>
      <w:r>
        <w:rPr>
          <w:rFonts w:hint="eastAsia" w:ascii="宋体" w:hAnsi="宋体" w:cs="宋体"/>
          <w:b/>
          <w:bCs/>
          <w:color w:val="auto"/>
          <w:sz w:val="28"/>
          <w:szCs w:val="28"/>
          <w:highlight w:val="none"/>
        </w:rPr>
        <w:t>二、招标文件</w:t>
      </w:r>
      <w:bookmarkEnd w:id="23"/>
    </w:p>
    <w:p w14:paraId="66723055">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24" w:name="_Toc27744"/>
      <w:r>
        <w:rPr>
          <w:rFonts w:hint="eastAsia" w:ascii="宋体" w:hAnsi="宋体" w:cs="宋体"/>
          <w:b w:val="0"/>
          <w:bCs w:val="0"/>
          <w:color w:val="auto"/>
          <w:sz w:val="24"/>
          <w:szCs w:val="24"/>
          <w:highlight w:val="none"/>
        </w:rPr>
        <w:t>6、招标文件的组成</w:t>
      </w:r>
      <w:bookmarkEnd w:id="24"/>
    </w:p>
    <w:p w14:paraId="35D2CFD5">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6.1</w:t>
      </w:r>
      <w:r>
        <w:rPr>
          <w:rFonts w:hint="eastAsia" w:ascii="宋体" w:hAnsi="宋体" w:cs="宋体"/>
          <w:color w:val="auto"/>
          <w:sz w:val="24"/>
          <w:szCs w:val="24"/>
          <w:highlight w:val="none"/>
        </w:rPr>
        <w:t>招标文件包括下列内容及按投标供应商须知发出的补充文件。</w:t>
      </w:r>
    </w:p>
    <w:p w14:paraId="3C5557C2">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第一章招标公告</w:t>
      </w:r>
    </w:p>
    <w:p w14:paraId="1596C2B3">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第二章投标供应商须知</w:t>
      </w:r>
    </w:p>
    <w:p w14:paraId="610C32AE">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第三章 采购清单及技术参数</w:t>
      </w:r>
    </w:p>
    <w:p w14:paraId="21D486E0">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第四章合同条款及格式</w:t>
      </w:r>
    </w:p>
    <w:p w14:paraId="2C3D60C3">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第五章评标标准和方法</w:t>
      </w:r>
    </w:p>
    <w:p w14:paraId="63BF9771">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第六章投标文件格式</w:t>
      </w:r>
    </w:p>
    <w:p w14:paraId="01570B39">
      <w:pPr>
        <w:shd w:val="clear" w:color="auto" w:fill="auto"/>
        <w:wordWrap w:val="0"/>
        <w:topLinePunct/>
        <w:snapToGrid/>
        <w:spacing w:line="360" w:lineRule="auto"/>
        <w:ind w:right="0" w:rightChars="0" w:firstLine="480" w:firstLineChars="20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根据本章对招标文件所作的澄清、修改、补充，构成招标文件的组成部分。</w:t>
      </w:r>
    </w:p>
    <w:p w14:paraId="2B24D310">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6.2</w:t>
      </w:r>
      <w:r>
        <w:rPr>
          <w:rFonts w:hint="eastAsia" w:ascii="宋体" w:hAnsi="宋体" w:cs="宋体"/>
          <w:color w:val="auto"/>
          <w:sz w:val="24"/>
          <w:szCs w:val="24"/>
          <w:highlight w:val="none"/>
        </w:rPr>
        <w:t>投标供应商应详细阅读招标文件中的所有条款内容、格式、表格和所涉及的相关规范。如果投标供应商不按招标文件的要求提交投标文件和资料的，或者投标文件没有对招标文件提出的实质性要求和条件作出响应，将导致投标文件不被接受，其后果由投标供应商自己负责。</w:t>
      </w:r>
    </w:p>
    <w:p w14:paraId="340B05D0">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25" w:name="_Toc29866"/>
      <w:r>
        <w:rPr>
          <w:rFonts w:hint="eastAsia" w:ascii="宋体" w:hAnsi="宋体" w:cs="宋体"/>
          <w:b w:val="0"/>
          <w:bCs w:val="0"/>
          <w:color w:val="auto"/>
          <w:sz w:val="24"/>
          <w:szCs w:val="24"/>
          <w:highlight w:val="none"/>
        </w:rPr>
        <w:t>7、招标文件的澄清</w:t>
      </w:r>
      <w:bookmarkEnd w:id="25"/>
    </w:p>
    <w:p w14:paraId="5372D92B">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7.1</w:t>
      </w:r>
      <w:r>
        <w:rPr>
          <w:rFonts w:hint="eastAsia" w:ascii="宋体" w:hAnsi="宋体" w:cs="宋体"/>
          <w:color w:val="auto"/>
          <w:sz w:val="24"/>
          <w:szCs w:val="24"/>
          <w:highlight w:val="none"/>
        </w:rPr>
        <w:t>投标供应商应仔细阅读和检查招标文件的全部内容。如发现缺页或附件不全，应及时向招标人提出，以便补齐。如有疑问，如发现缺页或附件不全，应在下载招标文件后24小时内在三门峡市公共资源交易系统中提出咨询并打电话至招标代理机构，要求招标人对招标文件予以澄清。</w:t>
      </w:r>
    </w:p>
    <w:p w14:paraId="10CA6776">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7.2招标文件的澄清将在投标供应商须知前附表规定的投标截止时间15天前以澄清回复的方式在三门峡市公共资源交易系统中回复所有报名完成投标供应商或发布澄清公告，但不指明澄清问题的来源。如果澄清发出的时间距投标截止时间不足15天，相应延长投标截止时间。</w:t>
      </w:r>
    </w:p>
    <w:p w14:paraId="68957823">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7.3如果在规定的时间内投标供应商未提出疑问，将视为投标供应商完全理解并接受招标文件中的资格要求、投标供应商须知、格式、条款、技术规格、澄清、修改等所有要求，则投标供应商应按照招标文件相应要求的要求提交有关资料和文件。</w:t>
      </w:r>
    </w:p>
    <w:p w14:paraId="3BB1ACBA">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7.4招标文件澄清、修改、补充通知内容均以发布的澄清、变更、补充公告内容为准。当招标文件、修改补充通知、澄清内容相互矛盾时，以最后发出的通知或修改文件为准。</w:t>
      </w:r>
    </w:p>
    <w:p w14:paraId="2FDCB2E8">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7.5投标供应商应自行查看澄清或变更信息。</w:t>
      </w:r>
    </w:p>
    <w:p w14:paraId="500B454F">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26" w:name="_Toc15165"/>
      <w:r>
        <w:rPr>
          <w:rFonts w:hint="eastAsia" w:ascii="宋体" w:hAnsi="宋体" w:cs="宋体"/>
          <w:b w:val="0"/>
          <w:bCs w:val="0"/>
          <w:color w:val="auto"/>
          <w:sz w:val="24"/>
          <w:szCs w:val="24"/>
          <w:highlight w:val="none"/>
        </w:rPr>
        <w:t>8、招标文件的修正</w:t>
      </w:r>
      <w:bookmarkEnd w:id="26"/>
    </w:p>
    <w:p w14:paraId="35657927">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8.1</w:t>
      </w:r>
      <w:r>
        <w:rPr>
          <w:rFonts w:hint="eastAsia" w:ascii="宋体" w:hAnsi="宋体" w:cs="宋体"/>
          <w:color w:val="auto"/>
          <w:sz w:val="24"/>
          <w:szCs w:val="24"/>
          <w:highlight w:val="none"/>
        </w:rPr>
        <w:t>在投标截止时间15天前，招标人可以变更公告的方式在三门峡市公共资源交易系统中回复所有报名完成投标供应商或发布变更公告。如果修改招标文件的时间距投标截止时间不足15天，相应延长投标截止时间。</w:t>
      </w:r>
    </w:p>
    <w:p w14:paraId="5D5C63C7">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8.2投标供应商应自行查看变更信息。</w:t>
      </w:r>
    </w:p>
    <w:p w14:paraId="632B45AC">
      <w:pPr>
        <w:shd w:val="clear" w:color="auto" w:fill="auto"/>
        <w:wordWrap w:val="0"/>
        <w:topLinePunct/>
        <w:snapToGrid/>
        <w:spacing w:line="360" w:lineRule="auto"/>
        <w:ind w:right="0" w:rightChars="0" w:firstLine="562" w:firstLineChars="200"/>
        <w:jc w:val="left"/>
        <w:outlineLvl w:val="0"/>
        <w:rPr>
          <w:rFonts w:hint="eastAsia" w:ascii="宋体" w:hAnsi="宋体" w:cs="宋体"/>
          <w:b/>
          <w:bCs/>
          <w:color w:val="auto"/>
          <w:sz w:val="28"/>
          <w:szCs w:val="28"/>
          <w:highlight w:val="none"/>
        </w:rPr>
      </w:pPr>
      <w:bookmarkStart w:id="27" w:name="_Toc21789"/>
      <w:r>
        <w:rPr>
          <w:rFonts w:hint="eastAsia" w:ascii="宋体" w:hAnsi="宋体" w:cs="宋体"/>
          <w:b/>
          <w:bCs/>
          <w:color w:val="auto"/>
          <w:sz w:val="28"/>
          <w:szCs w:val="28"/>
          <w:highlight w:val="none"/>
        </w:rPr>
        <w:t>三、投标文件的编制</w:t>
      </w:r>
      <w:bookmarkEnd w:id="27"/>
    </w:p>
    <w:p w14:paraId="5AB90227">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28" w:name="_Toc23265"/>
      <w:r>
        <w:rPr>
          <w:rFonts w:hint="eastAsia" w:ascii="宋体" w:hAnsi="宋体" w:cs="宋体"/>
          <w:b w:val="0"/>
          <w:bCs w:val="0"/>
          <w:color w:val="auto"/>
          <w:sz w:val="24"/>
          <w:szCs w:val="24"/>
          <w:highlight w:val="none"/>
        </w:rPr>
        <w:t>9、特别说明</w:t>
      </w:r>
      <w:bookmarkEnd w:id="28"/>
    </w:p>
    <w:p w14:paraId="78316483">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9.1</w:t>
      </w:r>
      <w:r>
        <w:rPr>
          <w:rFonts w:hint="eastAsia" w:ascii="宋体" w:hAnsi="宋体" w:cs="宋体"/>
          <w:color w:val="auto"/>
          <w:sz w:val="24"/>
          <w:szCs w:val="24"/>
          <w:highlight w:val="none"/>
        </w:rPr>
        <w:t>投标语言</w:t>
      </w:r>
    </w:p>
    <w:p w14:paraId="1E8543F2">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投标供应商提交的投标文件以及投标供应商与招标代理机构就有关投标的所有往来函电均应使用中文。投标供应商提供的文件可以用英文，但相应内容应附有中文翻译本，在解释时以中文翻译本为准。</w:t>
      </w:r>
    </w:p>
    <w:p w14:paraId="5A1213A9">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9.2</w:t>
      </w:r>
      <w:r>
        <w:rPr>
          <w:rFonts w:hint="eastAsia" w:ascii="宋体" w:hAnsi="宋体" w:cs="宋体"/>
          <w:color w:val="auto"/>
          <w:sz w:val="24"/>
          <w:szCs w:val="24"/>
          <w:highlight w:val="none"/>
        </w:rPr>
        <w:t>计量</w:t>
      </w:r>
    </w:p>
    <w:p w14:paraId="51309C6D">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在投标文件所有计量单位均采用中华人民共和国法定计量单位。</w:t>
      </w:r>
    </w:p>
    <w:p w14:paraId="319A2B7F">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9.3</w:t>
      </w:r>
      <w:r>
        <w:rPr>
          <w:rFonts w:hint="eastAsia" w:ascii="宋体" w:hAnsi="宋体" w:cs="宋体"/>
          <w:color w:val="auto"/>
          <w:sz w:val="24"/>
          <w:szCs w:val="24"/>
          <w:highlight w:val="none"/>
        </w:rPr>
        <w:t>投标供应商在投标文件中所提交的所有资料和文件均应是真实的和有效的，如有作假，则将该投标供应商的投标作无效标处理，若中标后被发现有上述行为的，则采购人有权取消其中标资格，并且该投标供应商应承担由此而造成的一切损失（包括经济损失和法律责任）。</w:t>
      </w:r>
    </w:p>
    <w:p w14:paraId="2DFE45B3">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9.4</w:t>
      </w:r>
      <w:r>
        <w:rPr>
          <w:rFonts w:hint="eastAsia" w:ascii="宋体" w:hAnsi="宋体" w:cs="宋体"/>
          <w:color w:val="auto"/>
          <w:sz w:val="24"/>
          <w:szCs w:val="24"/>
          <w:highlight w:val="none"/>
        </w:rPr>
        <w:t>投标供应商应当按照招标文件和电子招标投标交易平台的要求编制并加密投标文件。投标供应商未按规定加密的投标文件，电子招标投标交易平台将拒收并提示。</w:t>
      </w:r>
    </w:p>
    <w:p w14:paraId="0C6592D3">
      <w:pPr>
        <w:shd w:val="clear" w:color="auto" w:fill="auto"/>
        <w:wordWrap w:val="0"/>
        <w:topLinePunct/>
        <w:snapToGrid/>
        <w:spacing w:line="360" w:lineRule="auto"/>
        <w:ind w:right="0" w:rightChars="0" w:firstLine="480" w:firstLineChars="20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9.5温馨提示：本项目为电子化、无纸化交易项目，开标时不接受任何纸质资料，为保证您能投标成功，请需仔细阅读投标供应商须知前附表第35条。</w:t>
      </w:r>
    </w:p>
    <w:p w14:paraId="362ABF58">
      <w:pPr>
        <w:shd w:val="clear" w:color="auto" w:fill="auto"/>
        <w:wordWrap w:val="0"/>
        <w:topLinePunct/>
        <w:snapToGrid/>
        <w:spacing w:line="360" w:lineRule="auto"/>
        <w:ind w:right="0" w:rightChars="0" w:firstLine="480" w:firstLineChars="200"/>
        <w:jc w:val="left"/>
        <w:outlineLvl w:val="1"/>
        <w:rPr>
          <w:rFonts w:hint="eastAsia" w:ascii="宋体" w:hAnsi="宋体" w:cs="宋体"/>
          <w:b w:val="0"/>
          <w:bCs w:val="0"/>
          <w:color w:val="auto"/>
          <w:sz w:val="24"/>
          <w:szCs w:val="24"/>
          <w:highlight w:val="none"/>
        </w:rPr>
      </w:pPr>
      <w:bookmarkStart w:id="29" w:name="_Toc15064"/>
      <w:r>
        <w:rPr>
          <w:rFonts w:hint="eastAsia" w:ascii="宋体" w:hAnsi="宋体" w:cs="宋体"/>
          <w:b w:val="0"/>
          <w:bCs w:val="0"/>
          <w:color w:val="auto"/>
          <w:sz w:val="24"/>
          <w:szCs w:val="24"/>
          <w:highlight w:val="none"/>
        </w:rPr>
        <w:t>10、投标货物和服务的报价</w:t>
      </w:r>
      <w:bookmarkEnd w:id="29"/>
    </w:p>
    <w:p w14:paraId="4CE18501">
      <w:pPr>
        <w:wordWrap w:val="0"/>
        <w:topLinePunct/>
        <w:autoSpaceDE/>
        <w:autoSpaceDN/>
        <w:adjustRightInd/>
        <w:spacing w:line="360" w:lineRule="auto"/>
        <w:ind w:firstLine="480" w:firstLineChars="200"/>
        <w:jc w:val="left"/>
        <w:outlineLvl w:val="2"/>
        <w:rPr>
          <w:rFonts w:hint="eastAsia" w:ascii="宋体" w:hAnsi="宋体" w:cs="宋体"/>
          <w:color w:val="auto"/>
          <w:kern w:val="2"/>
          <w:sz w:val="24"/>
          <w:szCs w:val="24"/>
          <w:highlight w:val="none"/>
        </w:rPr>
      </w:pPr>
      <w:bookmarkStart w:id="30" w:name="_Toc17625"/>
      <w:r>
        <w:rPr>
          <w:rFonts w:hint="eastAsia" w:ascii="宋体" w:hAnsi="宋体" w:cs="宋体"/>
          <w:color w:val="auto"/>
          <w:kern w:val="2"/>
          <w:sz w:val="24"/>
          <w:szCs w:val="24"/>
          <w:highlight w:val="none"/>
        </w:rPr>
        <w:t>10.1 投标报价中应包含以下内容。</w:t>
      </w:r>
      <w:bookmarkEnd w:id="30"/>
    </w:p>
    <w:p w14:paraId="44B224B0">
      <w:pPr>
        <w:wordWrap w:val="0"/>
        <w:topLinePunct/>
        <w:autoSpaceDE/>
        <w:autoSpaceDN/>
        <w:adjustRightInd/>
        <w:spacing w:line="360" w:lineRule="auto"/>
        <w:ind w:firstLine="480" w:firstLineChars="20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10.1.1 投标供应商的投标报价应包含验收合格正式交付使用前所发生的一切费用，且投标供应商只能提出一个不变价格，采购人不接受任何选择报价。</w:t>
      </w:r>
    </w:p>
    <w:p w14:paraId="4FE237BF">
      <w:pPr>
        <w:wordWrap w:val="0"/>
        <w:topLinePunct/>
        <w:autoSpaceDE/>
        <w:autoSpaceDN/>
        <w:adjustRightInd/>
        <w:spacing w:line="360" w:lineRule="auto"/>
        <w:ind w:firstLine="480" w:firstLineChars="20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10.1.2 该项目类别及取费标准按照国家相关规定执行。</w:t>
      </w:r>
    </w:p>
    <w:p w14:paraId="18F0F003">
      <w:pPr>
        <w:wordWrap w:val="0"/>
        <w:topLinePunct/>
        <w:autoSpaceDE/>
        <w:autoSpaceDN/>
        <w:adjustRightInd/>
        <w:spacing w:line="360" w:lineRule="auto"/>
        <w:ind w:firstLine="480" w:firstLineChars="20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10.1.3 电子化投标文件的投标报价，应是完成本文件所列招标范围的全部内容。</w:t>
      </w:r>
    </w:p>
    <w:p w14:paraId="22F49750">
      <w:pPr>
        <w:wordWrap w:val="0"/>
        <w:topLinePunct/>
        <w:autoSpaceDE/>
        <w:autoSpaceDN/>
        <w:adjustRightInd/>
        <w:spacing w:line="360" w:lineRule="auto"/>
        <w:ind w:firstLine="480" w:firstLineChars="20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10.1.4 如投标报价表中的大写金额和小写金额不一致的，以大写金额为准；总价金额与单价金额不一致的，以单价金额为准，但单价金额小数点有明显错误的除外；对不同文字文本电子化投标文件的解释发生异议的，以中文文本为准。</w:t>
      </w:r>
    </w:p>
    <w:p w14:paraId="5E78DC3B">
      <w:pPr>
        <w:wordWrap w:val="0"/>
        <w:topLinePunct/>
        <w:autoSpaceDE/>
        <w:autoSpaceDN/>
        <w:adjustRightInd/>
        <w:spacing w:line="360" w:lineRule="auto"/>
        <w:ind w:firstLine="480" w:firstLineChars="20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10.1.5 全部报价均应以人民币为计量币种，并以人民币进行结算。</w:t>
      </w:r>
    </w:p>
    <w:p w14:paraId="1935BEF7">
      <w:pPr>
        <w:shd w:val="clear" w:color="auto" w:fill="auto"/>
        <w:wordWrap w:val="0"/>
        <w:topLinePunct/>
        <w:snapToGrid/>
        <w:spacing w:line="360" w:lineRule="auto"/>
        <w:ind w:right="0" w:rightChars="0" w:firstLine="480" w:firstLineChars="200"/>
        <w:jc w:val="left"/>
        <w:outlineLvl w:val="1"/>
        <w:rPr>
          <w:rFonts w:hint="eastAsia" w:ascii="宋体" w:hAnsi="宋体" w:cs="宋体"/>
          <w:b w:val="0"/>
          <w:bCs w:val="0"/>
          <w:color w:val="auto"/>
          <w:sz w:val="24"/>
          <w:szCs w:val="24"/>
          <w:highlight w:val="none"/>
        </w:rPr>
      </w:pPr>
      <w:bookmarkStart w:id="31" w:name="_Toc28697"/>
      <w:r>
        <w:rPr>
          <w:rFonts w:hint="eastAsia" w:ascii="宋体" w:hAnsi="宋体" w:cs="宋体"/>
          <w:b w:val="0"/>
          <w:bCs w:val="0"/>
          <w:color w:val="auto"/>
          <w:sz w:val="24"/>
          <w:szCs w:val="24"/>
          <w:highlight w:val="none"/>
        </w:rPr>
        <w:t>11、投标保证金</w:t>
      </w:r>
      <w:bookmarkEnd w:id="31"/>
    </w:p>
    <w:p w14:paraId="354698FF">
      <w:pPr>
        <w:wordWrap w:val="0"/>
        <w:topLinePunct/>
        <w:spacing w:line="360" w:lineRule="auto"/>
        <w:ind w:firstLine="480" w:firstLineChars="200"/>
        <w:jc w:val="left"/>
        <w:rPr>
          <w:rFonts w:hint="eastAsia" w:ascii="宋体" w:hAnsi="宋体" w:cs="宋体"/>
          <w:color w:val="auto"/>
          <w:kern w:val="2"/>
          <w:sz w:val="24"/>
          <w:szCs w:val="24"/>
          <w:highlight w:val="none"/>
        </w:rPr>
      </w:pPr>
      <w:r>
        <w:rPr>
          <w:rFonts w:hint="eastAsia" w:ascii="宋体" w:hAnsi="宋体" w:cs="宋体"/>
          <w:color w:val="auto"/>
          <w:sz w:val="24"/>
          <w:szCs w:val="24"/>
          <w:highlight w:val="none"/>
        </w:rPr>
        <w:t>根据《河南省财政厅关于优化政府采购营商环境有关问题的通知》（豫财购【2019】4号）第6条的规定，投标保证金不再收取。投标人需提供</w:t>
      </w:r>
      <w:r>
        <w:rPr>
          <w:rFonts w:hint="eastAsia" w:ascii="宋体" w:hAnsi="宋体" w:cs="宋体"/>
          <w:color w:val="auto"/>
          <w:sz w:val="24"/>
          <w:szCs w:val="24"/>
          <w:highlight w:val="none"/>
          <w:lang w:eastAsia="zh-CN"/>
        </w:rPr>
        <w:t>投标承诺函</w:t>
      </w:r>
      <w:r>
        <w:rPr>
          <w:rFonts w:hint="eastAsia" w:ascii="宋体" w:hAnsi="宋体" w:cs="宋体"/>
          <w:color w:val="auto"/>
          <w:sz w:val="24"/>
          <w:szCs w:val="24"/>
          <w:highlight w:val="none"/>
        </w:rPr>
        <w:t>。</w:t>
      </w:r>
    </w:p>
    <w:p w14:paraId="20599F00">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32" w:name="_Toc32198"/>
      <w:r>
        <w:rPr>
          <w:rFonts w:hint="eastAsia" w:ascii="宋体" w:hAnsi="宋体" w:cs="宋体"/>
          <w:b w:val="0"/>
          <w:bCs w:val="0"/>
          <w:color w:val="auto"/>
          <w:sz w:val="24"/>
          <w:szCs w:val="24"/>
          <w:highlight w:val="none"/>
        </w:rPr>
        <w:t>12、投标有效期</w:t>
      </w:r>
      <w:bookmarkEnd w:id="32"/>
    </w:p>
    <w:p w14:paraId="03FAEC33">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12.1</w:t>
      </w:r>
      <w:r>
        <w:rPr>
          <w:rFonts w:hint="eastAsia" w:ascii="宋体" w:hAnsi="宋体" w:cs="宋体"/>
          <w:color w:val="auto"/>
          <w:sz w:val="24"/>
          <w:szCs w:val="24"/>
          <w:highlight w:val="none"/>
        </w:rPr>
        <w:t>投标文件从开标之时起开始生效，投标有效期从投标截止之日起60日历天。</w:t>
      </w:r>
    </w:p>
    <w:p w14:paraId="2B4E0466">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12.2</w:t>
      </w:r>
      <w:r>
        <w:rPr>
          <w:rFonts w:hint="eastAsia" w:ascii="宋体" w:hAnsi="宋体" w:cs="宋体"/>
          <w:color w:val="auto"/>
          <w:sz w:val="24"/>
          <w:szCs w:val="24"/>
          <w:highlight w:val="none"/>
        </w:rPr>
        <w:t>在特殊情况下，采购人可征求投标供应商同意延长投标有效期，这种要求和答复均应以公告形式提交。同意延长投标有效期的投标供应商不需要也不允许修改其电子化投标文件。</w:t>
      </w:r>
    </w:p>
    <w:p w14:paraId="627FCDD9">
      <w:pPr>
        <w:shd w:val="clear" w:color="auto" w:fill="auto"/>
        <w:wordWrap w:val="0"/>
        <w:topLinePunct/>
        <w:snapToGrid/>
        <w:spacing w:line="360" w:lineRule="auto"/>
        <w:ind w:right="0" w:rightChars="0" w:firstLine="480" w:firstLineChars="200"/>
        <w:jc w:val="left"/>
        <w:outlineLvl w:val="1"/>
        <w:rPr>
          <w:rFonts w:hint="eastAsia" w:ascii="宋体" w:hAnsi="宋体" w:cs="宋体"/>
          <w:b w:val="0"/>
          <w:bCs w:val="0"/>
          <w:color w:val="auto"/>
          <w:sz w:val="24"/>
          <w:szCs w:val="24"/>
          <w:highlight w:val="none"/>
        </w:rPr>
      </w:pPr>
      <w:bookmarkStart w:id="33" w:name="_Toc9447"/>
      <w:r>
        <w:rPr>
          <w:rFonts w:hint="eastAsia" w:ascii="宋体" w:hAnsi="宋体" w:cs="宋体"/>
          <w:b w:val="0"/>
          <w:bCs w:val="0"/>
          <w:color w:val="auto"/>
          <w:sz w:val="24"/>
          <w:szCs w:val="24"/>
          <w:highlight w:val="none"/>
        </w:rPr>
        <w:t>13、电子化投标文件的组成</w:t>
      </w:r>
      <w:bookmarkEnd w:id="33"/>
    </w:p>
    <w:p w14:paraId="07640B37">
      <w:pPr>
        <w:wordWrap w:val="0"/>
        <w:topLinePunct/>
        <w:autoSpaceDE/>
        <w:autoSpaceDN/>
        <w:adjustRightInd/>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一、投标函及投标函附录</w:t>
      </w:r>
    </w:p>
    <w:p w14:paraId="7CBC8712">
      <w:pPr>
        <w:wordWrap w:val="0"/>
        <w:topLinePunct/>
        <w:autoSpaceDE/>
        <w:autoSpaceDN/>
        <w:adjustRightInd/>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二、法定代表人身份证明</w:t>
      </w:r>
    </w:p>
    <w:p w14:paraId="579A3407">
      <w:pPr>
        <w:wordWrap w:val="0"/>
        <w:topLinePunct/>
        <w:autoSpaceDE/>
        <w:autoSpaceDN/>
        <w:adjustRightInd/>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三、授权委托书</w:t>
      </w:r>
    </w:p>
    <w:p w14:paraId="675E7F6A">
      <w:pPr>
        <w:wordWrap w:val="0"/>
        <w:topLinePunct/>
        <w:autoSpaceDE/>
        <w:autoSpaceDN/>
        <w:adjustRightInd/>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四、投标承诺函</w:t>
      </w:r>
    </w:p>
    <w:p w14:paraId="3051F502">
      <w:pPr>
        <w:wordWrap w:val="0"/>
        <w:topLinePunct/>
        <w:autoSpaceDE/>
        <w:autoSpaceDN/>
        <w:adjustRightInd/>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五、报价明细表</w:t>
      </w:r>
    </w:p>
    <w:p w14:paraId="721128ED">
      <w:pPr>
        <w:wordWrap w:val="0"/>
        <w:topLinePunct/>
        <w:autoSpaceDE/>
        <w:autoSpaceDN/>
        <w:adjustRightInd/>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六、技术规格响应/偏离表</w:t>
      </w:r>
    </w:p>
    <w:p w14:paraId="7259C19D">
      <w:pPr>
        <w:wordWrap w:val="0"/>
        <w:topLinePunct/>
        <w:autoSpaceDE/>
        <w:autoSpaceDN/>
        <w:adjustRightInd/>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七、项目</w:t>
      </w:r>
      <w:r>
        <w:rPr>
          <w:rFonts w:hint="eastAsia" w:ascii="宋体" w:hAnsi="宋体" w:cs="宋体"/>
          <w:bCs w:val="0"/>
          <w:color w:val="auto"/>
          <w:sz w:val="24"/>
          <w:szCs w:val="24"/>
          <w:highlight w:val="none"/>
        </w:rPr>
        <w:t>实施方案</w:t>
      </w:r>
    </w:p>
    <w:p w14:paraId="2B3D135C">
      <w:pPr>
        <w:wordWrap w:val="0"/>
        <w:topLinePunct/>
        <w:autoSpaceDE/>
        <w:autoSpaceDN/>
        <w:adjustRightInd/>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八、投标供应商资格证明文件</w:t>
      </w:r>
    </w:p>
    <w:p w14:paraId="47DF8E79">
      <w:pPr>
        <w:wordWrap w:val="0"/>
        <w:topLinePunct/>
        <w:autoSpaceDE/>
        <w:autoSpaceDN/>
        <w:adjustRightInd/>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九、</w:t>
      </w:r>
      <w:r>
        <w:rPr>
          <w:rFonts w:hint="eastAsia" w:ascii="宋体" w:hAnsi="宋体" w:cs="宋体"/>
          <w:color w:val="auto"/>
          <w:sz w:val="24"/>
          <w:szCs w:val="24"/>
          <w:highlight w:val="none"/>
        </w:rPr>
        <w:t>投标供应商认为应附的其他资料</w:t>
      </w:r>
    </w:p>
    <w:p w14:paraId="256F0F7D">
      <w:pPr>
        <w:wordWrap w:val="0"/>
        <w:topLinePunct/>
        <w:autoSpaceDE/>
        <w:autoSpaceDN/>
        <w:adjustRightInd/>
        <w:spacing w:line="360" w:lineRule="auto"/>
        <w:ind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附：中小企业声明函（货物）、残疾人福利性单位声明函、监狱企业证明文件</w:t>
      </w:r>
    </w:p>
    <w:p w14:paraId="40598E3B">
      <w:pPr>
        <w:wordWrap w:val="0"/>
        <w:topLinePunct/>
        <w:autoSpaceDE/>
        <w:autoSpaceDN/>
        <w:adjustRightInd/>
        <w:spacing w:line="360" w:lineRule="auto"/>
        <w:ind w:firstLine="480" w:firstLineChars="200"/>
        <w:jc w:val="left"/>
        <w:outlineLvl w:val="1"/>
        <w:rPr>
          <w:rFonts w:hint="eastAsia" w:ascii="宋体" w:hAnsi="宋体" w:cs="宋体"/>
          <w:b w:val="0"/>
          <w:bCs w:val="0"/>
          <w:color w:val="auto"/>
          <w:sz w:val="24"/>
          <w:szCs w:val="24"/>
          <w:highlight w:val="none"/>
        </w:rPr>
      </w:pPr>
      <w:bookmarkStart w:id="34" w:name="_Toc950"/>
      <w:r>
        <w:rPr>
          <w:rFonts w:hint="eastAsia" w:ascii="宋体" w:hAnsi="宋体" w:cs="宋体"/>
          <w:b w:val="0"/>
          <w:bCs w:val="0"/>
          <w:color w:val="auto"/>
          <w:sz w:val="24"/>
          <w:szCs w:val="24"/>
          <w:highlight w:val="none"/>
        </w:rPr>
        <w:t>14、资格审查资料</w:t>
      </w:r>
      <w:bookmarkEnd w:id="34"/>
    </w:p>
    <w:p w14:paraId="60CF71A1">
      <w:pPr>
        <w:wordWrap w:val="0"/>
        <w:topLinePunct/>
        <w:autoSpaceDE/>
        <w:autoSpaceDN/>
        <w:adjustRightInd/>
        <w:spacing w:line="360" w:lineRule="auto"/>
        <w:ind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本次招标实行资格后审，资格审查的具体要求见招标文件前附表</w:t>
      </w:r>
    </w:p>
    <w:p w14:paraId="797F2512">
      <w:pPr>
        <w:wordWrap w:val="0"/>
        <w:topLinePunct/>
        <w:autoSpaceDE/>
        <w:autoSpaceDN/>
        <w:adjustRightInd/>
        <w:spacing w:line="360" w:lineRule="auto"/>
        <w:ind w:firstLine="480" w:firstLineChars="20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依据《政府采购货物和服务招标投标管理办法》（财政部令第87号令）第四十四条：公开招标采购项目开标结束后，采购人或采购代理机构应当依法对投标供应商的资格进行审查。合格投标供应商不足3家的，不得评标。</w:t>
      </w:r>
    </w:p>
    <w:p w14:paraId="2439CFA6">
      <w:pPr>
        <w:wordWrap w:val="0"/>
        <w:topLinePunct/>
        <w:autoSpaceDE/>
        <w:autoSpaceDN/>
        <w:adjustRightInd/>
        <w:spacing w:line="360" w:lineRule="auto"/>
        <w:ind w:firstLine="480" w:firstLineChars="200"/>
        <w:jc w:val="left"/>
        <w:outlineLvl w:val="1"/>
        <w:rPr>
          <w:rFonts w:hint="eastAsia" w:ascii="宋体" w:hAnsi="宋体" w:cs="宋体"/>
          <w:b w:val="0"/>
          <w:bCs w:val="0"/>
          <w:color w:val="auto"/>
          <w:sz w:val="24"/>
          <w:szCs w:val="24"/>
          <w:highlight w:val="none"/>
        </w:rPr>
      </w:pPr>
      <w:bookmarkStart w:id="35" w:name="_Toc23711"/>
      <w:r>
        <w:rPr>
          <w:rFonts w:hint="eastAsia" w:ascii="宋体" w:hAnsi="宋体" w:cs="宋体"/>
          <w:b w:val="0"/>
          <w:bCs w:val="0"/>
          <w:color w:val="auto"/>
          <w:sz w:val="24"/>
          <w:szCs w:val="24"/>
          <w:highlight w:val="none"/>
        </w:rPr>
        <w:t>15、备选投标方案</w:t>
      </w:r>
      <w:bookmarkEnd w:id="35"/>
    </w:p>
    <w:p w14:paraId="1161BFD5">
      <w:pPr>
        <w:wordWrap w:val="0"/>
        <w:topLinePunct/>
        <w:autoSpaceDE/>
        <w:autoSpaceDN/>
        <w:adjustRightInd/>
        <w:spacing w:line="360" w:lineRule="auto"/>
        <w:ind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投标供应商不得递交备选投标方案。</w:t>
      </w:r>
    </w:p>
    <w:p w14:paraId="29142066">
      <w:pPr>
        <w:wordWrap w:val="0"/>
        <w:topLinePunct/>
        <w:autoSpaceDE/>
        <w:autoSpaceDN/>
        <w:adjustRightInd/>
        <w:spacing w:line="360" w:lineRule="auto"/>
        <w:ind w:firstLine="480" w:firstLineChars="200"/>
        <w:jc w:val="left"/>
        <w:outlineLvl w:val="1"/>
        <w:rPr>
          <w:rFonts w:hint="eastAsia" w:ascii="宋体" w:hAnsi="宋体" w:cs="宋体"/>
          <w:b w:val="0"/>
          <w:bCs w:val="0"/>
          <w:color w:val="auto"/>
          <w:sz w:val="24"/>
          <w:szCs w:val="24"/>
          <w:highlight w:val="none"/>
        </w:rPr>
      </w:pPr>
      <w:bookmarkStart w:id="36" w:name="_Toc23575"/>
      <w:r>
        <w:rPr>
          <w:rFonts w:hint="eastAsia" w:ascii="宋体" w:hAnsi="宋体" w:cs="宋体"/>
          <w:b w:val="0"/>
          <w:bCs w:val="0"/>
          <w:color w:val="auto"/>
          <w:sz w:val="24"/>
          <w:szCs w:val="24"/>
          <w:highlight w:val="none"/>
        </w:rPr>
        <w:t>16、电子化投标文件的格式</w:t>
      </w:r>
      <w:bookmarkEnd w:id="36"/>
    </w:p>
    <w:p w14:paraId="0A7463D8">
      <w:pPr>
        <w:wordWrap w:val="0"/>
        <w:topLinePunct/>
        <w:autoSpaceDE/>
        <w:autoSpaceDN/>
        <w:adjustRightInd/>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16.1投标供应商所上传的电子化投标文件，应是通过中心投标文件制作系统制作的，经过签章和加密后生成的电子版投标文件。生成的电子版投标文件包含用于投标文件上传的主文件（后缀为.smxtf）和用于应急补救的投标文件备份文件（后缀为.nsmxtf），备份文件主要用于电子化开标出现技术问题后的补救，请投标供应商随身携带。</w:t>
      </w:r>
    </w:p>
    <w:p w14:paraId="20132D96">
      <w:pPr>
        <w:wordWrap w:val="0"/>
        <w:topLinePunct/>
        <w:autoSpaceDE/>
        <w:autoSpaceDN/>
        <w:adjustRightInd/>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注：投标供应商投报多个标段的，需要每个标段单独制作电子投标文件。</w:t>
      </w:r>
    </w:p>
    <w:p w14:paraId="12ACE517">
      <w:pPr>
        <w:wordWrap w:val="0"/>
        <w:topLinePunct/>
        <w:autoSpaceDE/>
        <w:autoSpaceDN/>
        <w:adjustRightInd/>
        <w:spacing w:line="360" w:lineRule="auto"/>
        <w:ind w:firstLine="480" w:firstLineChars="200"/>
        <w:jc w:val="left"/>
        <w:outlineLvl w:val="1"/>
        <w:rPr>
          <w:rFonts w:hint="eastAsia" w:ascii="宋体" w:hAnsi="宋体" w:cs="宋体"/>
          <w:color w:val="auto"/>
          <w:kern w:val="2"/>
          <w:sz w:val="24"/>
          <w:szCs w:val="24"/>
          <w:highlight w:val="none"/>
        </w:rPr>
      </w:pPr>
      <w:bookmarkStart w:id="37" w:name="_Toc16520"/>
      <w:r>
        <w:rPr>
          <w:rFonts w:hint="eastAsia" w:ascii="宋体" w:hAnsi="宋体" w:cs="宋体"/>
          <w:color w:val="auto"/>
          <w:kern w:val="2"/>
          <w:sz w:val="24"/>
          <w:szCs w:val="24"/>
          <w:highlight w:val="none"/>
        </w:rPr>
        <w:t>17、电子化投标文件的签章</w:t>
      </w:r>
      <w:bookmarkEnd w:id="37"/>
    </w:p>
    <w:p w14:paraId="65D15B79">
      <w:pPr>
        <w:wordWrap w:val="0"/>
        <w:topLinePunct/>
        <w:autoSpaceDE/>
        <w:autoSpaceDN/>
        <w:adjustRightInd/>
        <w:spacing w:line="360" w:lineRule="auto"/>
        <w:ind w:firstLine="480" w:firstLineChars="20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17.1 投标供应商在生成电子化投标文件后，应对电子化投标文件进行签章，未进行签章的视为无效投标。</w:t>
      </w:r>
    </w:p>
    <w:p w14:paraId="058C74EB">
      <w:pPr>
        <w:wordWrap w:val="0"/>
        <w:topLinePunct/>
        <w:autoSpaceDE/>
        <w:autoSpaceDN/>
        <w:adjustRightInd/>
        <w:spacing w:line="360" w:lineRule="auto"/>
        <w:ind w:firstLine="480" w:firstLineChars="20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17.2、投标文件中要求法定代表人或授权委托人盖章的，投标供应商在进行电子化投标文件签章时，以签盖法定代表人签章为准。电子化投标文件具体制作教材请投标供应商通过CA证书登录三门峡市公共资源电子化交易系统在右上角“交易智库”中查看。电子化投标文件工具请在三门峡市公共资源交易中心网首页“下载专区”下载。</w:t>
      </w:r>
    </w:p>
    <w:p w14:paraId="59228242">
      <w:pPr>
        <w:shd w:val="clear" w:color="auto" w:fill="auto"/>
        <w:wordWrap w:val="0"/>
        <w:topLinePunct/>
        <w:snapToGrid/>
        <w:spacing w:line="360" w:lineRule="auto"/>
        <w:ind w:right="0" w:rightChars="0" w:firstLine="562" w:firstLineChars="200"/>
        <w:jc w:val="left"/>
        <w:outlineLvl w:val="0"/>
        <w:rPr>
          <w:rFonts w:hint="eastAsia" w:ascii="宋体" w:hAnsi="宋体" w:cs="宋体"/>
          <w:b/>
          <w:bCs/>
          <w:color w:val="auto"/>
          <w:sz w:val="28"/>
          <w:szCs w:val="28"/>
          <w:highlight w:val="none"/>
        </w:rPr>
      </w:pPr>
      <w:bookmarkStart w:id="38" w:name="_Toc9812"/>
      <w:r>
        <w:rPr>
          <w:rFonts w:hint="eastAsia" w:ascii="宋体" w:hAnsi="宋体" w:cs="宋体"/>
          <w:b/>
          <w:bCs/>
          <w:color w:val="auto"/>
          <w:sz w:val="28"/>
          <w:szCs w:val="28"/>
          <w:highlight w:val="none"/>
        </w:rPr>
        <w:t>四、投标文件的上传</w:t>
      </w:r>
      <w:bookmarkEnd w:id="38"/>
    </w:p>
    <w:p w14:paraId="38CEBD38">
      <w:pPr>
        <w:shd w:val="clear" w:color="auto" w:fill="auto"/>
        <w:wordWrap w:val="0"/>
        <w:topLinePunct/>
        <w:snapToGrid/>
        <w:spacing w:line="360" w:lineRule="auto"/>
        <w:ind w:right="0" w:rightChars="0" w:firstLine="480" w:firstLineChars="200"/>
        <w:jc w:val="left"/>
        <w:outlineLvl w:val="1"/>
        <w:rPr>
          <w:rFonts w:hint="eastAsia" w:ascii="宋体" w:hAnsi="宋体" w:cs="宋体"/>
          <w:b w:val="0"/>
          <w:bCs w:val="0"/>
          <w:color w:val="auto"/>
          <w:sz w:val="24"/>
          <w:szCs w:val="24"/>
          <w:highlight w:val="none"/>
        </w:rPr>
      </w:pPr>
      <w:bookmarkStart w:id="39" w:name="_Toc18565"/>
      <w:r>
        <w:rPr>
          <w:rFonts w:hint="eastAsia" w:ascii="宋体" w:hAnsi="宋体" w:cs="宋体"/>
          <w:b w:val="0"/>
          <w:bCs w:val="0"/>
          <w:color w:val="auto"/>
          <w:sz w:val="24"/>
          <w:szCs w:val="24"/>
          <w:highlight w:val="none"/>
        </w:rPr>
        <w:t>18、投标文件上传</w:t>
      </w:r>
      <w:bookmarkEnd w:id="39"/>
    </w:p>
    <w:p w14:paraId="79986A4D">
      <w:pPr>
        <w:shd w:val="clear" w:color="auto" w:fill="auto"/>
        <w:wordWrap w:val="0"/>
        <w:topLinePunct/>
        <w:snapToGrid/>
        <w:spacing w:line="360" w:lineRule="auto"/>
        <w:ind w:right="0" w:rightChars="0" w:firstLine="480" w:firstLineChars="20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18.1电子化投标文件应在投标截止时间前成功上传至三门峡市公共资源电子化交易系统。至投标截止时间止，仍未上传成功的电子化投标文件将不予接收。</w:t>
      </w:r>
    </w:p>
    <w:p w14:paraId="20088E0B">
      <w:pPr>
        <w:wordWrap w:val="0"/>
        <w:topLinePunct/>
        <w:spacing w:line="360" w:lineRule="auto"/>
        <w:ind w:right="0" w:rightChars="0" w:firstLine="480" w:firstLineChars="20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0B7605E1">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40" w:name="_Toc101"/>
      <w:r>
        <w:rPr>
          <w:rFonts w:hint="eastAsia" w:ascii="宋体" w:hAnsi="宋体" w:cs="宋体"/>
          <w:b w:val="0"/>
          <w:bCs w:val="0"/>
          <w:color w:val="auto"/>
          <w:sz w:val="24"/>
          <w:szCs w:val="24"/>
          <w:highlight w:val="none"/>
        </w:rPr>
        <w:t>19.投标截止时间</w:t>
      </w:r>
      <w:bookmarkEnd w:id="40"/>
    </w:p>
    <w:p w14:paraId="60EBBF42">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19.1</w:t>
      </w:r>
      <w:r>
        <w:rPr>
          <w:rFonts w:hint="eastAsia" w:ascii="宋体" w:hAnsi="宋体" w:cs="宋体"/>
          <w:color w:val="auto"/>
          <w:sz w:val="24"/>
          <w:szCs w:val="24"/>
          <w:highlight w:val="none"/>
        </w:rPr>
        <w:t>投标文件的截止时间见本须知前附表规定。</w:t>
      </w:r>
    </w:p>
    <w:p w14:paraId="56EAD396">
      <w:pPr>
        <w:wordWrap w:val="0"/>
        <w:topLinePunct/>
        <w:autoSpaceDE/>
        <w:autoSpaceDN/>
        <w:adjustRightInd/>
        <w:spacing w:line="360" w:lineRule="auto"/>
        <w:ind w:firstLine="480" w:firstLineChars="20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19.2采购人可按本须知规定以修改补充通知的方式，酌情延长提交电子化投标文件的截止时间。在此情况下，投标供应商的所有权利和义务以及投标供应商受制约的截止时间，均以延长后新的投标截止时间为准。</w:t>
      </w:r>
    </w:p>
    <w:p w14:paraId="32429F42">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19.3</w:t>
      </w:r>
      <w:r>
        <w:rPr>
          <w:rFonts w:hint="eastAsia" w:ascii="宋体" w:hAnsi="宋体" w:cs="宋体"/>
          <w:color w:val="auto"/>
          <w:sz w:val="24"/>
          <w:szCs w:val="24"/>
          <w:highlight w:val="none"/>
        </w:rPr>
        <w:t>到投标截止时间止，采购人收到的投标文件少于3个的，采购人将依法重新组织招标。</w:t>
      </w:r>
    </w:p>
    <w:p w14:paraId="77B02F1D">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kern w:val="2"/>
          <w:sz w:val="24"/>
          <w:szCs w:val="24"/>
          <w:highlight w:val="none"/>
        </w:rPr>
        <w:t>19.4 电子化投标文件的补充、修改与撤回</w:t>
      </w:r>
    </w:p>
    <w:p w14:paraId="4B2678DC">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kern w:val="2"/>
          <w:sz w:val="24"/>
          <w:szCs w:val="24"/>
          <w:highlight w:val="none"/>
        </w:rPr>
        <w:t>19.4.1 在投标截止时间之后，投标供应商不得补充、修改电子化投标文件。</w:t>
      </w:r>
    </w:p>
    <w:p w14:paraId="53E7573B">
      <w:pPr>
        <w:shd w:val="clear" w:color="auto" w:fill="auto"/>
        <w:wordWrap w:val="0"/>
        <w:topLinePunct/>
        <w:snapToGrid/>
        <w:spacing w:line="360" w:lineRule="auto"/>
        <w:ind w:right="0" w:rightChars="0" w:firstLine="562" w:firstLineChars="200"/>
        <w:jc w:val="left"/>
        <w:outlineLvl w:val="0"/>
        <w:rPr>
          <w:rFonts w:hint="eastAsia" w:ascii="宋体" w:hAnsi="宋体" w:cs="宋体"/>
          <w:b/>
          <w:bCs/>
          <w:color w:val="auto"/>
          <w:sz w:val="28"/>
          <w:szCs w:val="28"/>
          <w:highlight w:val="none"/>
        </w:rPr>
      </w:pPr>
      <w:bookmarkStart w:id="41" w:name="_Toc29150"/>
      <w:r>
        <w:rPr>
          <w:rFonts w:hint="eastAsia" w:ascii="宋体" w:hAnsi="宋体" w:cs="宋体"/>
          <w:b/>
          <w:bCs/>
          <w:color w:val="auto"/>
          <w:sz w:val="28"/>
          <w:szCs w:val="28"/>
          <w:highlight w:val="none"/>
        </w:rPr>
        <w:t>五、开标</w:t>
      </w:r>
      <w:bookmarkEnd w:id="41"/>
    </w:p>
    <w:p w14:paraId="0261A5B1">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42" w:name="_Toc13526"/>
      <w:r>
        <w:rPr>
          <w:rFonts w:hint="eastAsia" w:ascii="宋体" w:hAnsi="宋体" w:cs="宋体"/>
          <w:b w:val="0"/>
          <w:bCs w:val="0"/>
          <w:color w:val="auto"/>
          <w:sz w:val="24"/>
          <w:szCs w:val="24"/>
          <w:highlight w:val="none"/>
        </w:rPr>
        <w:t>20、开标</w:t>
      </w:r>
      <w:bookmarkEnd w:id="42"/>
    </w:p>
    <w:p w14:paraId="3AEA3F3C">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20.1采购人按本须知前附表所规定的时间和地点公开开标，开标会议由招标代理机构主持，在有关部门监督下进行。</w:t>
      </w:r>
    </w:p>
    <w:p w14:paraId="7AB527E2">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20.2开标程序：</w:t>
      </w:r>
    </w:p>
    <w:p w14:paraId="1D60011A">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20.2.1开标由招标代理机构主持；</w:t>
      </w:r>
    </w:p>
    <w:p w14:paraId="10757734">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20.2.2介绍本项目的情况；</w:t>
      </w:r>
    </w:p>
    <w:p w14:paraId="38E4F16C">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20.2.3宣布开标会议纪律；</w:t>
      </w:r>
    </w:p>
    <w:p w14:paraId="14CABFDC">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20.2.4介绍参会的采购人、监督人；</w:t>
      </w:r>
    </w:p>
    <w:p w14:paraId="7CC7FE08">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20.2.5开标、解密、唱标 </w:t>
      </w:r>
    </w:p>
    <w:p w14:paraId="3D53943C">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20.2.5.1 开标时间和地点</w:t>
      </w:r>
    </w:p>
    <w:p w14:paraId="152CCBC2">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本项目采用电子化、无纸化进行招标，本项目为不见面开标项目，开标当日投标供应商不得到开标现场参加开标会议，投标供应商应当在投标截止时间前，登陆不见面开标大厅选择登陆三门峡市公共资源电子招投标系统进行登陆,在线准时参加开标活动并进行投标文件解密等。</w:t>
      </w:r>
    </w:p>
    <w:p w14:paraId="09884641">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2、电子化投标文件采用一次加密方式。开标时，由投标供应商使用CA 证书，在规定时间内对其电子化投标文件进行解密。每位投标供应商的解密时间为开标时间起30 分钟内，如在规定时间内未完成解密的，其投标文件不予开标、唱标。</w:t>
      </w:r>
    </w:p>
    <w:p w14:paraId="0826BFE5">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3、电子化投标文件异常情况的处理如出现投标供应商的电子投标文件无法解密等异常情况，投标供应商应及时致电中介服务机构说明。投标文件异常，按以下步骤进行处理：</w:t>
      </w:r>
    </w:p>
    <w:p w14:paraId="3B87B999">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（1）首先由技术人员进行问题排查。</w:t>
      </w:r>
    </w:p>
    <w:p w14:paraId="22E98005">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（2）经技术人员排查后，是投标供应商文件自身问题导致投标文件无法解密的，该投标文件将不予接收、解密和唱标。开标会议继续进行。</w:t>
      </w:r>
    </w:p>
    <w:p w14:paraId="17794E7D">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46D44A3F">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待所有投标供应商投标文件解密完成后，由中介服务机构操作，对所有已解密投标文件进行唱标。投标供应商应保证在开标期间电话、电脑、网络能够正常工作，投标供应商因停电、电脑病毒、网络堵塞等原因，未在规定的解密时间内对投标文件进行解密的，其投标文件不予接收、唱标。</w:t>
      </w:r>
    </w:p>
    <w:p w14:paraId="454CDD5B">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开标时投标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投标供应商的质疑并做好书面记录。投标供应商未在规定时间内提出质疑的，视为认可唱标内容。</w:t>
      </w:r>
    </w:p>
    <w:p w14:paraId="015A7F71">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评标时，评标委员会对电子化投标文件有质疑的，将通过电子化交易系统对投标供应商发起质疑，并在监督人员的监督下，用免提模式致电需要答复的投标供应商进行详细质询。质疑回复内容确认后，投标供应商的回复文件必须以经过投标供应商和其法定代表人签章的PDF格式文件为准，并通过电子化交易系统提交至评标委员会。</w:t>
      </w:r>
    </w:p>
    <w:p w14:paraId="00E970A5">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7、如评标委员会对需要回复的投标供应商连续三次致电未接通的，视为投标供应商放弃回复，评标委员会将自行对需要回复的内容进行认定。</w:t>
      </w:r>
    </w:p>
    <w:p w14:paraId="1021B520">
      <w:pPr>
        <w:shd w:val="clear" w:color="auto" w:fill="auto"/>
        <w:wordWrap w:val="0"/>
        <w:topLinePunct/>
        <w:snapToGrid/>
        <w:spacing w:line="360" w:lineRule="auto"/>
        <w:ind w:right="0" w:rightChars="0" w:firstLine="480" w:firstLineChars="200"/>
        <w:jc w:val="left"/>
        <w:outlineLvl w:val="1"/>
        <w:rPr>
          <w:rFonts w:hint="eastAsia" w:ascii="宋体" w:hAnsi="宋体" w:cs="宋体"/>
          <w:b w:val="0"/>
          <w:color w:val="auto"/>
          <w:sz w:val="24"/>
          <w:szCs w:val="24"/>
          <w:highlight w:val="none"/>
        </w:rPr>
      </w:pPr>
      <w:bookmarkStart w:id="43" w:name="_Toc15791"/>
      <w:r>
        <w:rPr>
          <w:rFonts w:hint="eastAsia" w:ascii="宋体" w:hAnsi="宋体" w:cs="宋体"/>
          <w:b w:val="0"/>
          <w:color w:val="auto"/>
          <w:sz w:val="24"/>
          <w:szCs w:val="24"/>
          <w:highlight w:val="none"/>
        </w:rPr>
        <w:t>21投标文件的有效性</w:t>
      </w:r>
      <w:bookmarkEnd w:id="43"/>
    </w:p>
    <w:p w14:paraId="0FDBD883">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21.1投标文件有下列情形之一的为无效电子化投标文件，采购人不予受理：因投标供应商原因造成投标文件未解密的，视为撤销其投标文件；因投标供应商之外的原因造成投标文件未解密的，视为撤回其投标文件，投标供应商有权要求责任方赔偿因此遭受的直接损失。部分投标文件未解密的，其他投标文件的开标可以继续进行。</w:t>
      </w:r>
    </w:p>
    <w:p w14:paraId="70DCAE11">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21.2若投标文件解密后，有效电子投标文件不足三家的，本项目应予废标。</w:t>
      </w:r>
    </w:p>
    <w:p w14:paraId="09BD092C">
      <w:pPr>
        <w:shd w:val="clear" w:color="auto" w:fill="auto"/>
        <w:wordWrap w:val="0"/>
        <w:topLinePunct/>
        <w:snapToGrid/>
        <w:spacing w:line="360" w:lineRule="auto"/>
        <w:ind w:right="0" w:rightChars="0" w:firstLine="562" w:firstLineChars="200"/>
        <w:jc w:val="left"/>
        <w:outlineLvl w:val="0"/>
        <w:rPr>
          <w:rFonts w:hint="eastAsia" w:ascii="宋体" w:hAnsi="宋体" w:cs="宋体"/>
          <w:b/>
          <w:bCs/>
          <w:color w:val="auto"/>
          <w:sz w:val="28"/>
          <w:szCs w:val="28"/>
          <w:highlight w:val="none"/>
        </w:rPr>
      </w:pPr>
      <w:bookmarkStart w:id="44" w:name="_Toc9749"/>
      <w:r>
        <w:rPr>
          <w:rFonts w:hint="eastAsia" w:ascii="宋体" w:hAnsi="宋体" w:cs="宋体"/>
          <w:b/>
          <w:bCs/>
          <w:color w:val="auto"/>
          <w:sz w:val="28"/>
          <w:szCs w:val="28"/>
          <w:highlight w:val="none"/>
        </w:rPr>
        <w:t>六、评标与定标</w:t>
      </w:r>
      <w:bookmarkEnd w:id="44"/>
    </w:p>
    <w:p w14:paraId="66ABBFBD">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45" w:name="_Toc15237"/>
      <w:r>
        <w:rPr>
          <w:rFonts w:hint="eastAsia" w:ascii="宋体" w:hAnsi="宋体" w:cs="宋体"/>
          <w:b w:val="0"/>
          <w:bCs w:val="0"/>
          <w:color w:val="auto"/>
          <w:sz w:val="24"/>
          <w:szCs w:val="24"/>
          <w:highlight w:val="none"/>
        </w:rPr>
        <w:t>22、评标委员会</w:t>
      </w:r>
      <w:bookmarkEnd w:id="45"/>
    </w:p>
    <w:p w14:paraId="5981D445">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22.1</w:t>
      </w:r>
      <w:r>
        <w:rPr>
          <w:rFonts w:hint="eastAsia" w:ascii="宋体" w:hAnsi="宋体" w:cs="宋体"/>
          <w:color w:val="auto"/>
          <w:sz w:val="24"/>
          <w:szCs w:val="24"/>
          <w:highlight w:val="none"/>
        </w:rPr>
        <w:t>评标委员会由采购人依法组建，负责评标活动。</w:t>
      </w:r>
    </w:p>
    <w:p w14:paraId="39C1AEBC">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22.2评标委员会成员为</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人，业主代表</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人，评审专家</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人；评标专家确定方式：通过相关专家库随机抽取。</w:t>
      </w:r>
    </w:p>
    <w:p w14:paraId="50D3265E">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22.3</w:t>
      </w:r>
      <w:r>
        <w:rPr>
          <w:rFonts w:hint="eastAsia" w:ascii="宋体" w:hAnsi="宋体" w:cs="宋体"/>
          <w:color w:val="auto"/>
          <w:sz w:val="24"/>
          <w:szCs w:val="24"/>
          <w:highlight w:val="none"/>
        </w:rPr>
        <w:t>参加评标的专家通过相关专家库随机抽取随机选定。与投标供应商有利害关系的人不得进入评标委员会。</w:t>
      </w:r>
    </w:p>
    <w:p w14:paraId="0D54E12A">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22.4</w:t>
      </w:r>
      <w:r>
        <w:rPr>
          <w:rFonts w:hint="eastAsia" w:ascii="宋体" w:hAnsi="宋体" w:cs="宋体"/>
          <w:color w:val="auto"/>
          <w:sz w:val="24"/>
          <w:szCs w:val="24"/>
          <w:highlight w:val="none"/>
        </w:rPr>
        <w:t>开标结束后，开始评标。评标工作在相关部门监督下，采用保密方式进行。</w:t>
      </w:r>
    </w:p>
    <w:p w14:paraId="3480120E">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46" w:name="_Toc18684"/>
      <w:r>
        <w:rPr>
          <w:rFonts w:hint="eastAsia" w:ascii="宋体" w:hAnsi="宋体" w:cs="宋体"/>
          <w:bCs w:val="0"/>
          <w:color w:val="auto"/>
          <w:sz w:val="24"/>
          <w:szCs w:val="24"/>
          <w:highlight w:val="none"/>
        </w:rPr>
        <w:t>23、评标过程的保密</w:t>
      </w:r>
      <w:bookmarkEnd w:id="46"/>
    </w:p>
    <w:p w14:paraId="18A1E808">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23.1</w:t>
      </w:r>
      <w:r>
        <w:rPr>
          <w:rFonts w:hint="eastAsia" w:ascii="宋体" w:hAnsi="宋体" w:cs="宋体"/>
          <w:color w:val="auto"/>
          <w:sz w:val="24"/>
          <w:szCs w:val="24"/>
          <w:highlight w:val="none"/>
        </w:rPr>
        <w:t>开标后，直至授予中标供应商合同为止，凡属于对电子化投标文件的审查、澄清、评价和比较有关的资料，中标候选人的推荐情况，及其他任何与评标有关的情况均应严格保密。</w:t>
      </w:r>
    </w:p>
    <w:p w14:paraId="19CF9E34">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23.2</w:t>
      </w:r>
      <w:r>
        <w:rPr>
          <w:rFonts w:hint="eastAsia" w:ascii="宋体" w:hAnsi="宋体" w:cs="宋体"/>
          <w:color w:val="auto"/>
          <w:sz w:val="24"/>
          <w:szCs w:val="24"/>
          <w:highlight w:val="none"/>
        </w:rPr>
        <w:t>在电子化投标文件的评审和比较、中标候选人推荐以及授予合同的过程中，投标供应商向采购人和评标委员会施加影响的任何行为，都将会导致其投标被拒绝。</w:t>
      </w:r>
    </w:p>
    <w:p w14:paraId="5E8ADF98">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23.3</w:t>
      </w:r>
      <w:r>
        <w:rPr>
          <w:rFonts w:hint="eastAsia" w:ascii="宋体" w:hAnsi="宋体" w:cs="宋体"/>
          <w:color w:val="auto"/>
          <w:sz w:val="24"/>
          <w:szCs w:val="24"/>
          <w:highlight w:val="none"/>
        </w:rPr>
        <w:t>中标供应商确定后，采购人不对未中标供应商就评标过程以及未能中标原因作出任何解释。未中标供应商不得向评标委员会组成人员或其他有关人员索问评标过程的情况和材料。</w:t>
      </w:r>
    </w:p>
    <w:p w14:paraId="590FB6F9">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47" w:name="_Toc18992"/>
      <w:r>
        <w:rPr>
          <w:rFonts w:hint="eastAsia" w:ascii="宋体" w:hAnsi="宋体" w:cs="宋体"/>
          <w:b w:val="0"/>
          <w:bCs w:val="0"/>
          <w:color w:val="auto"/>
          <w:sz w:val="24"/>
          <w:szCs w:val="24"/>
          <w:highlight w:val="none"/>
        </w:rPr>
        <w:t>24、评标纪律</w:t>
      </w:r>
      <w:bookmarkEnd w:id="47"/>
    </w:p>
    <w:p w14:paraId="0D09736E">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24.1</w:t>
      </w:r>
      <w:r>
        <w:rPr>
          <w:rFonts w:hint="eastAsia" w:ascii="宋体" w:hAnsi="宋体" w:cs="宋体"/>
          <w:color w:val="auto"/>
          <w:sz w:val="24"/>
          <w:szCs w:val="24"/>
          <w:highlight w:val="none"/>
        </w:rPr>
        <w:t>评标委员会成员和参与评标工作的有关人员不得透露对电子化投标文件的评审和比较、中标候选人的推荐情况以及与评标有关的其它情况。</w:t>
      </w:r>
    </w:p>
    <w:p w14:paraId="33336C5B">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24.2</w:t>
      </w:r>
      <w:r>
        <w:rPr>
          <w:rFonts w:hint="eastAsia" w:ascii="宋体" w:hAnsi="宋体" w:cs="宋体"/>
          <w:color w:val="auto"/>
          <w:sz w:val="24"/>
          <w:szCs w:val="24"/>
          <w:highlight w:val="none"/>
        </w:rPr>
        <w:t>除投标须知的规定以外，开标以后至授予中标通知书前，任何投标供应商均不得就与其投标文件有关的问题主动与采购人和招标代理机构发生联系。</w:t>
      </w:r>
    </w:p>
    <w:p w14:paraId="2BABE791">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24.3</w:t>
      </w:r>
      <w:r>
        <w:rPr>
          <w:rFonts w:hint="eastAsia" w:ascii="宋体" w:hAnsi="宋体" w:cs="宋体"/>
          <w:color w:val="auto"/>
          <w:sz w:val="24"/>
          <w:szCs w:val="24"/>
          <w:highlight w:val="none"/>
        </w:rPr>
        <w:t>如果投标供应商试图对评标委员会的评标施加影响，则将导致该投标供应商的投标文件被拒绝。</w:t>
      </w:r>
    </w:p>
    <w:p w14:paraId="47C045FD">
      <w:pPr>
        <w:shd w:val="clear" w:color="auto" w:fill="auto"/>
        <w:wordWrap w:val="0"/>
        <w:topLinePunct/>
        <w:snapToGrid/>
        <w:spacing w:line="360" w:lineRule="auto"/>
        <w:ind w:right="0" w:rightChars="0" w:firstLine="480" w:firstLineChars="200"/>
        <w:jc w:val="left"/>
        <w:outlineLvl w:val="1"/>
        <w:rPr>
          <w:rFonts w:hint="eastAsia" w:ascii="宋体" w:hAnsi="宋体" w:cs="宋体"/>
          <w:b w:val="0"/>
          <w:bCs w:val="0"/>
          <w:color w:val="auto"/>
          <w:sz w:val="24"/>
          <w:szCs w:val="24"/>
          <w:highlight w:val="none"/>
        </w:rPr>
      </w:pPr>
      <w:bookmarkStart w:id="48" w:name="_Toc20731"/>
      <w:r>
        <w:rPr>
          <w:rFonts w:hint="eastAsia" w:ascii="宋体" w:hAnsi="宋体" w:cs="宋体"/>
          <w:b w:val="0"/>
          <w:bCs w:val="0"/>
          <w:color w:val="auto"/>
          <w:sz w:val="24"/>
          <w:szCs w:val="24"/>
          <w:highlight w:val="none"/>
        </w:rPr>
        <w:t>25、评标方法和标准</w:t>
      </w:r>
      <w:bookmarkEnd w:id="48"/>
    </w:p>
    <w:p w14:paraId="5F05170F">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25.1评标委员会按照第四章“评标办法”规定的方法、评审因素、标准和程序对投标文件进行评审。第四章“评标办法”没有规定的方法、评审因素和标准，不作为评标依据。</w:t>
      </w:r>
    </w:p>
    <w:p w14:paraId="3421EF98">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25.2评标时，评标委员会对电子化投标文件有质疑的，将通过电子化交易系统对投标供应商发起质疑，并在监督人员的监督下，使用免提电话致电投标供应商要求其对质疑问题进行答复。投标供应商应及时对质疑进行在线回复，回复文件必须以经过投标供应商和其法定代表人签章的PDF格式文件为准，并通过电子化交易系统提交至评标委员会。</w:t>
      </w:r>
    </w:p>
    <w:p w14:paraId="02DC7849">
      <w:pPr>
        <w:shd w:val="clear" w:color="auto" w:fill="auto"/>
        <w:wordWrap w:val="0"/>
        <w:topLinePunct/>
        <w:snapToGrid/>
        <w:spacing w:line="360" w:lineRule="auto"/>
        <w:ind w:right="0" w:rightChars="0" w:firstLine="480" w:firstLineChars="200"/>
        <w:jc w:val="left"/>
        <w:rPr>
          <w:rFonts w:hint="eastAsia" w:ascii="宋体" w:hAnsi="宋体" w:cs="宋体"/>
          <w:color w:val="auto"/>
          <w:kern w:val="2"/>
          <w:sz w:val="24"/>
          <w:szCs w:val="24"/>
          <w:highlight w:val="none"/>
        </w:rPr>
      </w:pPr>
      <w:r>
        <w:rPr>
          <w:rFonts w:hint="eastAsia" w:ascii="宋体" w:hAnsi="宋体" w:cs="宋体"/>
          <w:bCs w:val="0"/>
          <w:color w:val="auto"/>
          <w:sz w:val="24"/>
          <w:szCs w:val="24"/>
          <w:highlight w:val="none"/>
        </w:rPr>
        <w:t>25.3评标委员会对需要答复的投标供应商连续三次致电未接通的，视为投标供应商放弃答复，评标委员会将自行对该质疑内容进行认定。</w:t>
      </w:r>
    </w:p>
    <w:p w14:paraId="3DC3B127">
      <w:pPr>
        <w:shd w:val="clear" w:color="auto" w:fill="auto"/>
        <w:wordWrap w:val="0"/>
        <w:topLinePunct/>
        <w:snapToGrid/>
        <w:spacing w:line="360" w:lineRule="auto"/>
        <w:ind w:right="0" w:rightChars="0" w:firstLine="562" w:firstLineChars="200"/>
        <w:jc w:val="left"/>
        <w:outlineLvl w:val="0"/>
        <w:rPr>
          <w:rFonts w:hint="eastAsia" w:ascii="宋体" w:hAnsi="宋体" w:cs="宋体"/>
          <w:b/>
          <w:bCs/>
          <w:color w:val="auto"/>
          <w:sz w:val="28"/>
          <w:szCs w:val="28"/>
          <w:highlight w:val="none"/>
        </w:rPr>
      </w:pPr>
      <w:bookmarkStart w:id="49" w:name="_Toc18387"/>
      <w:r>
        <w:rPr>
          <w:rFonts w:hint="eastAsia" w:ascii="宋体" w:hAnsi="宋体" w:cs="宋体"/>
          <w:b/>
          <w:bCs/>
          <w:color w:val="auto"/>
          <w:sz w:val="28"/>
          <w:szCs w:val="28"/>
          <w:highlight w:val="none"/>
        </w:rPr>
        <w:t>七、授予合同</w:t>
      </w:r>
      <w:bookmarkEnd w:id="49"/>
    </w:p>
    <w:p w14:paraId="387765D7">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50" w:name="_Toc593"/>
      <w:r>
        <w:rPr>
          <w:rFonts w:hint="eastAsia" w:ascii="宋体" w:hAnsi="宋体" w:cs="宋体"/>
          <w:b w:val="0"/>
          <w:bCs w:val="0"/>
          <w:color w:val="auto"/>
          <w:sz w:val="24"/>
          <w:szCs w:val="24"/>
          <w:highlight w:val="none"/>
        </w:rPr>
        <w:t>26、授予合同标准</w:t>
      </w:r>
      <w:bookmarkEnd w:id="50"/>
    </w:p>
    <w:p w14:paraId="129E07FE">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26.1</w:t>
      </w:r>
      <w:r>
        <w:rPr>
          <w:rFonts w:hint="eastAsia" w:ascii="宋体" w:hAnsi="宋体" w:cs="宋体"/>
          <w:color w:val="auto"/>
          <w:sz w:val="24"/>
          <w:szCs w:val="24"/>
          <w:highlight w:val="none"/>
        </w:rPr>
        <w:t>本招标项目的合同将授予按本评标办法确定的中标供应商。</w:t>
      </w:r>
    </w:p>
    <w:p w14:paraId="5703E294">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26.2</w:t>
      </w:r>
      <w:r>
        <w:rPr>
          <w:rFonts w:hint="eastAsia" w:ascii="宋体" w:hAnsi="宋体" w:cs="宋体"/>
          <w:color w:val="auto"/>
          <w:sz w:val="24"/>
          <w:szCs w:val="24"/>
          <w:highlight w:val="none"/>
        </w:rPr>
        <w:t>评标委员会经采购人授权，确定排名第一的中标候选人为中标供应商。当确定中标的中标供应商候选人放弃中标或因不可抗力提出不能履行合同的，采购人可以按序确定排名第二的中标候选人为中标供应商，以此类推。</w:t>
      </w:r>
    </w:p>
    <w:p w14:paraId="52B7600A">
      <w:pPr>
        <w:wordWrap w:val="0"/>
        <w:topLinePunct/>
        <w:autoSpaceDE/>
        <w:autoSpaceDN/>
        <w:adjustRightInd/>
        <w:spacing w:line="360" w:lineRule="auto"/>
        <w:ind w:firstLine="480" w:firstLineChars="200"/>
        <w:jc w:val="left"/>
        <w:outlineLvl w:val="1"/>
        <w:rPr>
          <w:rFonts w:hint="eastAsia" w:ascii="宋体" w:hAnsi="宋体" w:cs="宋体"/>
          <w:color w:val="auto"/>
          <w:kern w:val="2"/>
          <w:sz w:val="24"/>
          <w:szCs w:val="24"/>
          <w:highlight w:val="none"/>
        </w:rPr>
      </w:pPr>
      <w:bookmarkStart w:id="51" w:name="_Toc29619"/>
      <w:r>
        <w:rPr>
          <w:rFonts w:hint="eastAsia" w:ascii="宋体" w:hAnsi="宋体" w:cs="宋体"/>
          <w:color w:val="auto"/>
          <w:kern w:val="2"/>
          <w:sz w:val="24"/>
          <w:szCs w:val="24"/>
          <w:highlight w:val="none"/>
        </w:rPr>
        <w:t>27、授予合同时变更数量的权利</w:t>
      </w:r>
      <w:bookmarkEnd w:id="51"/>
    </w:p>
    <w:p w14:paraId="2EDD1A2D">
      <w:pPr>
        <w:wordWrap w:val="0"/>
        <w:topLinePunct/>
        <w:autoSpaceDE/>
        <w:autoSpaceDN/>
        <w:adjustRightInd/>
        <w:spacing w:line="360" w:lineRule="auto"/>
        <w:ind w:firstLine="480" w:firstLineChars="20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27.1采购人在授予合同时，保留对货物数量予以适当增减的权利。中标供应商不得在此情况下对投标文件作出修改，如价格、交货期限、质保期、售后服务等。</w:t>
      </w:r>
    </w:p>
    <w:p w14:paraId="5C553B6A">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52" w:name="_Toc811"/>
      <w:r>
        <w:rPr>
          <w:rFonts w:hint="eastAsia" w:ascii="宋体" w:hAnsi="宋体" w:cs="宋体"/>
          <w:b w:val="0"/>
          <w:bCs w:val="0"/>
          <w:color w:val="auto"/>
          <w:sz w:val="24"/>
          <w:szCs w:val="24"/>
          <w:highlight w:val="none"/>
        </w:rPr>
        <w:t>28、采购人拒绝投标的权力</w:t>
      </w:r>
      <w:bookmarkEnd w:id="52"/>
    </w:p>
    <w:p w14:paraId="2B9E0DC4">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28.1采购人不承诺将合同授予报价最低的或最高的中标候选人。</w:t>
      </w:r>
    </w:p>
    <w:p w14:paraId="65BAB802">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53" w:name="_Toc5982"/>
      <w:r>
        <w:rPr>
          <w:rFonts w:hint="eastAsia" w:ascii="宋体" w:hAnsi="宋体" w:cs="宋体"/>
          <w:b w:val="0"/>
          <w:bCs w:val="0"/>
          <w:color w:val="auto"/>
          <w:sz w:val="24"/>
          <w:szCs w:val="24"/>
          <w:highlight w:val="none"/>
        </w:rPr>
        <w:t>29、中标通知</w:t>
      </w:r>
      <w:bookmarkEnd w:id="53"/>
    </w:p>
    <w:p w14:paraId="54AF1224">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29.1</w:t>
      </w:r>
      <w:r>
        <w:rPr>
          <w:rFonts w:hint="eastAsia" w:ascii="宋体" w:hAnsi="宋体" w:cs="宋体"/>
          <w:color w:val="auto"/>
          <w:sz w:val="24"/>
          <w:szCs w:val="24"/>
          <w:highlight w:val="none"/>
        </w:rPr>
        <w:t>中标供应商确定后，采购人将于15日内向有关部门提交招标情况的书面报告，并在发布本项目招标公告的媒介上发布中标公示。</w:t>
      </w:r>
    </w:p>
    <w:p w14:paraId="243D4981">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29.2</w:t>
      </w:r>
      <w:r>
        <w:rPr>
          <w:rFonts w:hint="eastAsia" w:ascii="宋体" w:hAnsi="宋体" w:cs="宋体"/>
          <w:color w:val="auto"/>
          <w:sz w:val="24"/>
          <w:szCs w:val="24"/>
          <w:highlight w:val="none"/>
        </w:rPr>
        <w:t>中标通知书是合同的组成部分。</w:t>
      </w:r>
    </w:p>
    <w:p w14:paraId="0114EE01">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29.3</w:t>
      </w:r>
      <w:r>
        <w:rPr>
          <w:rFonts w:hint="eastAsia" w:ascii="宋体" w:hAnsi="宋体" w:cs="宋体"/>
          <w:color w:val="auto"/>
          <w:sz w:val="24"/>
          <w:szCs w:val="24"/>
          <w:highlight w:val="none"/>
        </w:rPr>
        <w:t>对未中标的投标供应商，不做任何未中标原因的解释。所有投标文件不予退还。</w:t>
      </w:r>
    </w:p>
    <w:p w14:paraId="4DD4F668">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54" w:name="_Toc2726"/>
      <w:r>
        <w:rPr>
          <w:rFonts w:hint="eastAsia" w:ascii="宋体" w:hAnsi="宋体" w:cs="宋体"/>
          <w:b w:val="0"/>
          <w:bCs w:val="0"/>
          <w:color w:val="auto"/>
          <w:sz w:val="24"/>
          <w:szCs w:val="24"/>
          <w:highlight w:val="none"/>
        </w:rPr>
        <w:t>30、合同协议书的签署</w:t>
      </w:r>
      <w:bookmarkEnd w:id="54"/>
    </w:p>
    <w:p w14:paraId="4B59C76B">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31.1采购人与中标供应商将于中标通知书发出之日起30日内，按照招标文件及中标供应商的投标文件订立书面承包合同，采购人和中标供应商不得再行订立背离合同实质性内容的其他协议。</w:t>
      </w:r>
    </w:p>
    <w:p w14:paraId="5F79D0FD">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31.2中标供应商如不按本投标须知的规定与采购人订立合同，则采购人将废除授标，给采购人造成损失的，应当予以赔偿，同时依法承担相应法律责任。</w:t>
      </w:r>
    </w:p>
    <w:p w14:paraId="62DD85BC">
      <w:pPr>
        <w:shd w:val="clear" w:color="auto" w:fill="auto"/>
        <w:wordWrap w:val="0"/>
        <w:topLinePunct/>
        <w:snapToGrid/>
        <w:spacing w:line="360" w:lineRule="auto"/>
        <w:ind w:right="0" w:rightChars="0" w:firstLine="562" w:firstLineChars="200"/>
        <w:jc w:val="left"/>
        <w:outlineLvl w:val="0"/>
        <w:rPr>
          <w:rFonts w:hint="eastAsia" w:ascii="宋体" w:hAnsi="宋体" w:cs="宋体"/>
          <w:b/>
          <w:bCs/>
          <w:color w:val="auto"/>
          <w:sz w:val="28"/>
          <w:szCs w:val="28"/>
          <w:highlight w:val="none"/>
        </w:rPr>
      </w:pPr>
      <w:bookmarkStart w:id="55" w:name="_Toc31258"/>
      <w:r>
        <w:rPr>
          <w:rFonts w:hint="eastAsia" w:ascii="宋体" w:hAnsi="宋体" w:cs="宋体"/>
          <w:b/>
          <w:bCs/>
          <w:color w:val="auto"/>
          <w:sz w:val="28"/>
          <w:szCs w:val="28"/>
          <w:highlight w:val="none"/>
        </w:rPr>
        <w:t>八、其他</w:t>
      </w:r>
      <w:bookmarkEnd w:id="55"/>
    </w:p>
    <w:p w14:paraId="071E8FAD">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 w:val="0"/>
          <w:bCs w:val="0"/>
          <w:color w:val="auto"/>
          <w:sz w:val="24"/>
          <w:szCs w:val="24"/>
          <w:highlight w:val="none"/>
        </w:rPr>
        <w:t>33、</w:t>
      </w:r>
      <w:r>
        <w:rPr>
          <w:rFonts w:hint="eastAsia" w:ascii="宋体" w:hAnsi="宋体" w:cs="宋体"/>
          <w:color w:val="auto"/>
          <w:sz w:val="24"/>
          <w:szCs w:val="24"/>
          <w:highlight w:val="none"/>
        </w:rPr>
        <w:t>未尽事宜按国家有关规定执行。</w:t>
      </w:r>
    </w:p>
    <w:p w14:paraId="6F04882D">
      <w:pPr>
        <w:shd w:val="clear" w:color="auto" w:fill="auto"/>
        <w:wordWrap w:val="0"/>
        <w:topLinePunct/>
        <w:snapToGrid/>
        <w:spacing w:line="360" w:lineRule="auto"/>
        <w:ind w:right="0" w:rightChars="0" w:firstLine="480" w:firstLineChars="20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34、</w:t>
      </w:r>
      <w:r>
        <w:rPr>
          <w:rFonts w:hint="eastAsia" w:ascii="宋体" w:hAnsi="宋体" w:cs="宋体"/>
          <w:bCs w:val="0"/>
          <w:color w:val="auto"/>
          <w:sz w:val="24"/>
          <w:szCs w:val="24"/>
          <w:highlight w:val="none"/>
        </w:rPr>
        <w:t>招标文件内容与投标供应商须知前附表不一致的，以投标供应商须知前附表内容为准。</w:t>
      </w:r>
    </w:p>
    <w:p w14:paraId="510B7CCB">
      <w:pPr>
        <w:shd w:val="clear" w:color="auto" w:fill="auto"/>
        <w:wordWrap w:val="0"/>
        <w:topLinePunct/>
        <w:snapToGrid/>
        <w:spacing w:line="360" w:lineRule="auto"/>
        <w:ind w:right="0" w:rightChars="0" w:firstLine="480" w:firstLineChars="200"/>
        <w:jc w:val="left"/>
        <w:rPr>
          <w:rFonts w:hint="eastAsia" w:ascii="宋体" w:hAnsi="宋体" w:cs="宋体"/>
          <w:color w:val="auto"/>
          <w:kern w:val="0"/>
          <w:sz w:val="24"/>
          <w:szCs w:val="24"/>
          <w:highlight w:val="none"/>
        </w:rPr>
      </w:pPr>
      <w:r>
        <w:rPr>
          <w:rFonts w:hint="eastAsia" w:ascii="宋体" w:hAnsi="宋体" w:cs="宋体"/>
          <w:color w:val="auto"/>
          <w:sz w:val="24"/>
          <w:szCs w:val="24"/>
          <w:highlight w:val="none"/>
        </w:rPr>
        <w:t>35、本招标文件最终解释权归采购人。</w:t>
      </w:r>
    </w:p>
    <w:p w14:paraId="252FD03E">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sectPr>
          <w:headerReference r:id="rId4" w:type="default"/>
          <w:footerReference r:id="rId5" w:type="default"/>
          <w:pgSz w:w="11905" w:h="16838"/>
          <w:pgMar w:top="1440" w:right="1417" w:bottom="1440" w:left="1417" w:header="680" w:footer="680" w:gutter="0"/>
          <w:pgBorders>
            <w:top w:val="none" w:sz="0" w:space="0"/>
            <w:left w:val="none" w:sz="0" w:space="0"/>
            <w:bottom w:val="none" w:sz="0" w:space="0"/>
            <w:right w:val="none" w:sz="0" w:space="0"/>
          </w:pgBorders>
          <w:pgNumType w:fmt="numberInDash" w:start="1"/>
          <w:cols w:space="0" w:num="1"/>
          <w:rtlGutter w:val="0"/>
          <w:docGrid w:type="lines" w:linePitch="317" w:charSpace="0"/>
        </w:sectPr>
      </w:pPr>
    </w:p>
    <w:p w14:paraId="1C050D12">
      <w:pPr>
        <w:pStyle w:val="2"/>
        <w:numPr>
          <w:ilvl w:val="0"/>
          <w:numId w:val="0"/>
        </w:numPr>
        <w:bidi w:val="0"/>
        <w:rPr>
          <w:rFonts w:hint="eastAsia"/>
          <w:color w:val="auto"/>
          <w:highlight w:val="none"/>
        </w:rPr>
      </w:pPr>
      <w:bookmarkStart w:id="56" w:name="_Toc1291"/>
      <w:bookmarkStart w:id="57" w:name="_Toc455333415"/>
      <w:r>
        <w:rPr>
          <w:rFonts w:hint="eastAsia" w:ascii="Calibri" w:hAnsi="Calibri" w:eastAsia="宋体" w:cs="Times New Roman"/>
          <w:b/>
          <w:color w:val="auto"/>
          <w:kern w:val="44"/>
          <w:sz w:val="32"/>
          <w:highlight w:val="none"/>
          <w:lang w:val="en-US" w:eastAsia="zh-CN" w:bidi="ar-SA"/>
        </w:rPr>
        <w:t>第三章</w:t>
      </w:r>
      <w:r>
        <w:rPr>
          <w:rFonts w:hint="eastAsia"/>
          <w:color w:val="auto"/>
          <w:highlight w:val="none"/>
        </w:rPr>
        <w:t xml:space="preserve"> 采购清单及技术要求</w:t>
      </w:r>
      <w:bookmarkEnd w:id="56"/>
    </w:p>
    <w:p w14:paraId="7EC9AFEA">
      <w:pPr>
        <w:keepNext w:val="0"/>
        <w:keepLines w:val="0"/>
        <w:pageBreakBefore w:val="0"/>
        <w:widowControl w:val="0"/>
        <w:numPr>
          <w:ilvl w:val="0"/>
          <w:numId w:val="0"/>
        </w:numPr>
        <w:kinsoku/>
        <w:wordWrap w:val="0"/>
        <w:overflowPunct/>
        <w:topLinePunct/>
        <w:autoSpaceDE/>
        <w:autoSpaceDN/>
        <w:bidi w:val="0"/>
        <w:adjustRightInd/>
        <w:snapToGrid/>
        <w:spacing w:line="360" w:lineRule="auto"/>
        <w:jc w:val="left"/>
        <w:textAlignment w:val="auto"/>
        <w:rPr>
          <w:rFonts w:hint="eastAsia"/>
          <w:b/>
          <w:bCs/>
          <w:color w:val="auto"/>
          <w:sz w:val="24"/>
          <w:szCs w:val="24"/>
          <w:highlight w:val="none"/>
          <w:lang w:eastAsia="zh-CN"/>
        </w:rPr>
      </w:pPr>
      <w:r>
        <w:rPr>
          <w:rFonts w:hint="eastAsia"/>
          <w:b/>
          <w:bCs/>
          <w:color w:val="auto"/>
          <w:sz w:val="24"/>
          <w:szCs w:val="24"/>
          <w:highlight w:val="none"/>
          <w:lang w:eastAsia="zh-CN"/>
        </w:rPr>
        <w:t>核心产品：一标段：14方垃圾压缩设备、二标段：12方垃圾压缩设备、三标段：18吨勾臂车、四标段：12吨洗扫车、五标段：18吨深度洗扫车</w:t>
      </w:r>
    </w:p>
    <w:bookmarkEnd w:id="57"/>
    <w:tbl>
      <w:tblPr>
        <w:tblStyle w:val="16"/>
        <w:tblW w:w="152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8"/>
        <w:gridCol w:w="1747"/>
        <w:gridCol w:w="596"/>
        <w:gridCol w:w="596"/>
        <w:gridCol w:w="1006"/>
        <w:gridCol w:w="1140"/>
        <w:gridCol w:w="7500"/>
        <w:gridCol w:w="1797"/>
      </w:tblGrid>
      <w:tr w14:paraId="07289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jc w:val="center"/>
        </w:trPr>
        <w:tc>
          <w:tcPr>
            <w:tcW w:w="15280" w:type="dxa"/>
            <w:gridSpan w:val="8"/>
            <w:tcBorders>
              <w:top w:val="nil"/>
              <w:left w:val="nil"/>
              <w:bottom w:val="nil"/>
              <w:right w:val="nil"/>
            </w:tcBorders>
            <w:shd w:val="clear" w:color="auto" w:fill="auto"/>
            <w:noWrap/>
            <w:vAlign w:val="center"/>
          </w:tcPr>
          <w:p w14:paraId="31F7A7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灵宝市生活垃圾分类收运设备及环卫车辆更新项目（设备车辆购置第一批）</w:t>
            </w:r>
          </w:p>
        </w:tc>
      </w:tr>
      <w:tr w14:paraId="3E23A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D57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2CB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设备名称</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E7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11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F35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单价</w:t>
            </w:r>
          </w:p>
          <w:p w14:paraId="2B9E53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EC20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合计</w:t>
            </w:r>
          </w:p>
          <w:p w14:paraId="65AB4E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（万元）</w:t>
            </w:r>
          </w:p>
        </w:tc>
        <w:tc>
          <w:tcPr>
            <w:tcW w:w="7500" w:type="dxa"/>
            <w:tcBorders>
              <w:top w:val="single" w:color="000000" w:sz="4" w:space="0"/>
              <w:left w:val="nil"/>
              <w:bottom w:val="single" w:color="000000" w:sz="4" w:space="0"/>
              <w:right w:val="single" w:color="000000" w:sz="4" w:space="0"/>
            </w:tcBorders>
            <w:shd w:val="clear" w:color="auto" w:fill="auto"/>
            <w:vAlign w:val="center"/>
          </w:tcPr>
          <w:p w14:paraId="52CDFB4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参数</w:t>
            </w:r>
          </w:p>
        </w:tc>
        <w:tc>
          <w:tcPr>
            <w:tcW w:w="1797" w:type="dxa"/>
            <w:tcBorders>
              <w:top w:val="single" w:color="000000" w:sz="4" w:space="0"/>
              <w:left w:val="nil"/>
              <w:bottom w:val="single" w:color="000000" w:sz="4" w:space="0"/>
              <w:right w:val="single" w:color="000000" w:sz="4" w:space="0"/>
            </w:tcBorders>
            <w:shd w:val="clear" w:color="auto" w:fill="auto"/>
            <w:vAlign w:val="center"/>
          </w:tcPr>
          <w:p w14:paraId="7D75A5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w:t>
            </w:r>
          </w:p>
        </w:tc>
      </w:tr>
      <w:tr w14:paraId="6C03E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1"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7C9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一标段</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0FF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垃圾中转站</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38466">
            <w:pPr>
              <w:jc w:val="center"/>
              <w:rPr>
                <w:rFonts w:hint="eastAsia" w:ascii="宋体" w:hAnsi="宋体" w:eastAsia="宋体" w:cs="宋体"/>
                <w:i w:val="0"/>
                <w:iCs w:val="0"/>
                <w:color w:val="auto"/>
                <w:sz w:val="21"/>
                <w:szCs w:val="21"/>
                <w:highlight w:val="none"/>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4365">
            <w:pPr>
              <w:jc w:val="center"/>
              <w:rPr>
                <w:rFonts w:hint="eastAsia" w:ascii="宋体" w:hAnsi="宋体" w:eastAsia="宋体" w:cs="宋体"/>
                <w:i w:val="0"/>
                <w:iCs w:val="0"/>
                <w:color w:val="auto"/>
                <w:sz w:val="21"/>
                <w:szCs w:val="21"/>
                <w:highlight w:val="none"/>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C5868">
            <w:pPr>
              <w:jc w:val="center"/>
              <w:rPr>
                <w:rFonts w:hint="eastAsia" w:ascii="宋体" w:hAnsi="宋体" w:eastAsia="宋体" w:cs="宋体"/>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D9F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7500" w:type="dxa"/>
            <w:tcBorders>
              <w:top w:val="single" w:color="000000" w:sz="4" w:space="0"/>
              <w:left w:val="nil"/>
              <w:bottom w:val="single" w:color="000000" w:sz="4" w:space="0"/>
              <w:right w:val="single" w:color="000000" w:sz="4" w:space="0"/>
            </w:tcBorders>
            <w:shd w:val="clear" w:color="auto" w:fill="auto"/>
            <w:vAlign w:val="center"/>
          </w:tcPr>
          <w:p w14:paraId="4FFC0D14">
            <w:pPr>
              <w:jc w:val="center"/>
              <w:rPr>
                <w:rFonts w:hint="eastAsia" w:ascii="宋体" w:hAnsi="宋体" w:eastAsia="宋体" w:cs="宋体"/>
                <w:i w:val="0"/>
                <w:iCs w:val="0"/>
                <w:color w:val="auto"/>
                <w:sz w:val="21"/>
                <w:szCs w:val="21"/>
                <w:highlight w:val="none"/>
                <w:u w:val="none"/>
              </w:rPr>
            </w:pPr>
          </w:p>
        </w:tc>
        <w:tc>
          <w:tcPr>
            <w:tcW w:w="1797" w:type="dxa"/>
            <w:tcBorders>
              <w:top w:val="single" w:color="000000" w:sz="4" w:space="0"/>
              <w:left w:val="nil"/>
              <w:bottom w:val="single" w:color="000000" w:sz="4" w:space="0"/>
              <w:right w:val="single" w:color="000000" w:sz="4" w:space="0"/>
            </w:tcBorders>
            <w:shd w:val="clear" w:color="auto" w:fill="auto"/>
            <w:vAlign w:val="center"/>
          </w:tcPr>
          <w:p w14:paraId="26F63B9A">
            <w:pPr>
              <w:jc w:val="center"/>
              <w:rPr>
                <w:rFonts w:hint="default" w:ascii="宋体" w:hAnsi="宋体" w:eastAsia="宋体" w:cs="宋体"/>
                <w:i w:val="0"/>
                <w:iCs w:val="0"/>
                <w:color w:val="auto"/>
                <w:sz w:val="21"/>
                <w:szCs w:val="21"/>
                <w:highlight w:val="none"/>
                <w:u w:val="none"/>
                <w:lang w:val="en-US" w:eastAsia="zh-CN"/>
              </w:rPr>
            </w:pPr>
          </w:p>
        </w:tc>
      </w:tr>
      <w:tr w14:paraId="76862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15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73A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14方高位水平直压式垃圾压缩设备</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719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58A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F6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5B7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7500" w:type="dxa"/>
            <w:tcBorders>
              <w:top w:val="single" w:color="000000" w:sz="4" w:space="0"/>
              <w:left w:val="nil"/>
              <w:bottom w:val="single" w:color="000000" w:sz="4" w:space="0"/>
              <w:right w:val="single" w:color="000000" w:sz="4" w:space="0"/>
            </w:tcBorders>
            <w:shd w:val="clear" w:color="auto" w:fill="auto"/>
            <w:vAlign w:val="center"/>
          </w:tcPr>
          <w:p w14:paraId="01869A5A">
            <w:pPr>
              <w:pStyle w:val="23"/>
              <w:spacing w:before="36" w:line="289" w:lineRule="auto"/>
              <w:ind w:left="114" w:right="240" w:firstLine="10"/>
              <w:rPr>
                <w:rFonts w:hint="eastAsia" w:ascii="宋体" w:hAnsi="宋体" w:eastAsia="宋体" w:cs="宋体"/>
                <w:color w:val="auto"/>
                <w:spacing w:val="-1"/>
                <w:sz w:val="21"/>
                <w:szCs w:val="21"/>
                <w:highlight w:val="none"/>
              </w:rPr>
            </w:pPr>
            <w:r>
              <w:rPr>
                <w:rFonts w:hint="eastAsia" w:ascii="宋体" w:hAnsi="宋体" w:eastAsia="宋体" w:cs="宋体"/>
                <w:color w:val="auto"/>
                <w:spacing w:val="-4"/>
                <w:sz w:val="21"/>
                <w:szCs w:val="21"/>
                <w:highlight w:val="none"/>
                <w:lang w:val="en-US" w:eastAsia="zh-CN"/>
              </w:rPr>
              <w:t>一、</w:t>
            </w:r>
            <w:r>
              <w:rPr>
                <w:rFonts w:hint="eastAsia" w:ascii="宋体" w:hAnsi="宋体" w:eastAsia="宋体" w:cs="宋体"/>
                <w:color w:val="auto"/>
                <w:spacing w:val="-4"/>
                <w:sz w:val="21"/>
                <w:szCs w:val="21"/>
                <w:highlight w:val="none"/>
              </w:rPr>
              <w:t>分体式垃</w:t>
            </w:r>
            <w:r>
              <w:rPr>
                <w:rFonts w:hint="eastAsia" w:ascii="宋体" w:hAnsi="宋体" w:eastAsia="宋体" w:cs="宋体"/>
                <w:color w:val="auto"/>
                <w:spacing w:val="-3"/>
                <w:sz w:val="21"/>
                <w:szCs w:val="21"/>
                <w:highlight w:val="none"/>
              </w:rPr>
              <w:t>圾压缩设</w:t>
            </w:r>
            <w:r>
              <w:rPr>
                <w:rFonts w:hint="eastAsia" w:ascii="宋体" w:hAnsi="宋体" w:eastAsia="宋体" w:cs="宋体"/>
                <w:color w:val="auto"/>
                <w:sz w:val="21"/>
                <w:szCs w:val="21"/>
                <w:highlight w:val="none"/>
              </w:rPr>
              <w:t>备</w:t>
            </w:r>
          </w:p>
          <w:p w14:paraId="273A94D4">
            <w:pPr>
              <w:pStyle w:val="23"/>
              <w:spacing w:before="36" w:line="289" w:lineRule="auto"/>
              <w:ind w:left="114" w:right="240" w:firstLine="10"/>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（1）压缩设备采用水平卷刮压缩工艺，压缩机与垃圾箱体可 连接和分离。</w:t>
            </w:r>
          </w:p>
          <w:p w14:paraId="221585CD">
            <w:pPr>
              <w:pStyle w:val="23"/>
              <w:spacing w:before="36" w:line="289" w:lineRule="auto"/>
              <w:ind w:left="114" w:right="240" w:firstLine="10"/>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（2）投料和转运的方式为：投料和转运为地面同平层，采用 前进前出模式，</w:t>
            </w:r>
          </w:p>
          <w:p w14:paraId="64DB3B58">
            <w:pPr>
              <w:pStyle w:val="23"/>
              <w:spacing w:before="36" w:line="289" w:lineRule="auto"/>
              <w:ind w:left="114" w:right="240" w:firstLine="10"/>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（3）压缩机填料口容积（m³): ≥1m³</w:t>
            </w:r>
          </w:p>
          <w:p w14:paraId="554500C6">
            <w:pPr>
              <w:pStyle w:val="23"/>
              <w:spacing w:before="36" w:line="289" w:lineRule="auto"/>
              <w:ind w:left="114" w:right="240" w:firstLine="10"/>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（4）压缩比： ≥2:1</w:t>
            </w:r>
          </w:p>
          <w:p w14:paraId="20AF7C73">
            <w:pPr>
              <w:pStyle w:val="23"/>
              <w:spacing w:before="36" w:line="289" w:lineRule="auto"/>
              <w:ind w:left="114" w:right="240" w:firstLine="10"/>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（5）压缩循环时间(s)：≤60</w:t>
            </w:r>
          </w:p>
          <w:p w14:paraId="2E094511">
            <w:pPr>
              <w:pStyle w:val="23"/>
              <w:spacing w:before="36" w:line="289" w:lineRule="auto"/>
              <w:ind w:left="114" w:right="240" w:firstLine="10"/>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（6）入料门开启时间（s）：≤10</w:t>
            </w:r>
          </w:p>
          <w:p w14:paraId="1E89996A">
            <w:pPr>
              <w:pStyle w:val="23"/>
              <w:spacing w:before="36" w:line="289" w:lineRule="auto"/>
              <w:ind w:left="114" w:right="240" w:firstLine="10"/>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（7）入料门关闭时间（s）：≤15</w:t>
            </w:r>
          </w:p>
          <w:p w14:paraId="40F44E84">
            <w:pPr>
              <w:pStyle w:val="23"/>
              <w:spacing w:before="36" w:line="289" w:lineRule="auto"/>
              <w:ind w:left="114" w:right="240" w:firstLine="10"/>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（8）压缩力(kN)： ≥180</w:t>
            </w:r>
          </w:p>
          <w:p w14:paraId="22C23AAC">
            <w:pPr>
              <w:pStyle w:val="23"/>
              <w:spacing w:before="36" w:line="289" w:lineRule="auto"/>
              <w:ind w:left="114" w:right="240" w:firstLine="10"/>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（9）压缩机最大压缩力(kN)： ≥400</w:t>
            </w:r>
          </w:p>
          <w:p w14:paraId="6330F364">
            <w:pPr>
              <w:pStyle w:val="23"/>
              <w:spacing w:before="36" w:line="289" w:lineRule="auto"/>
              <w:ind w:left="114" w:right="240" w:firstLine="10"/>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（10）压缩机功率（kw）：≤22</w:t>
            </w:r>
          </w:p>
          <w:p w14:paraId="1E98928F">
            <w:pPr>
              <w:pStyle w:val="23"/>
              <w:spacing w:before="36" w:line="289" w:lineRule="auto"/>
              <w:ind w:left="114" w:right="240" w:firstLine="10"/>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（11）设备作业环境噪声≤60dB（A）</w:t>
            </w:r>
          </w:p>
          <w:p w14:paraId="52CE7637">
            <w:pPr>
              <w:pStyle w:val="23"/>
              <w:spacing w:before="36" w:line="289" w:lineRule="auto"/>
              <w:ind w:left="114" w:right="240" w:firstLine="10"/>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（12）压缩机外形尺寸（长×宽×高）（mm）：≤2900×2000 ×3700</w:t>
            </w:r>
          </w:p>
          <w:p w14:paraId="27DDDB58">
            <w:pPr>
              <w:pStyle w:val="23"/>
              <w:spacing w:before="36" w:line="289" w:lineRule="auto"/>
              <w:ind w:left="114" w:right="240" w:firstLine="10"/>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（13）料斗有效容积（m³): ≥5</w:t>
            </w:r>
          </w:p>
          <w:p w14:paraId="5CC19621">
            <w:pPr>
              <w:pStyle w:val="23"/>
              <w:spacing w:before="36" w:line="289" w:lineRule="auto"/>
              <w:ind w:left="114" w:right="240" w:firstLine="10"/>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（14）料斗水平倾翻角度≥55 °</w:t>
            </w:r>
          </w:p>
          <w:p w14:paraId="5B9D2A40">
            <w:pPr>
              <w:pStyle w:val="23"/>
              <w:spacing w:before="36" w:line="289" w:lineRule="auto"/>
              <w:ind w:left="114" w:right="240" w:firstLine="10"/>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（15）液压系统连续作业2h后,液压油箱内油温不超过75℃。</w:t>
            </w:r>
          </w:p>
          <w:p w14:paraId="4053F985">
            <w:pPr>
              <w:pStyle w:val="23"/>
              <w:spacing w:before="36" w:line="289" w:lineRule="auto"/>
              <w:ind w:left="114" w:right="240" w:firstLine="10"/>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（16）电路间及带电电路与机壳之间的绝缘电阻(MΩ)： ≥0.4</w:t>
            </w:r>
          </w:p>
          <w:p w14:paraId="0482EB16">
            <w:pPr>
              <w:pStyle w:val="23"/>
              <w:spacing w:before="36" w:line="289" w:lineRule="auto"/>
              <w:ind w:left="114" w:right="240" w:firstLine="10"/>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分体式垃圾压缩设备其他要求</w:t>
            </w:r>
          </w:p>
          <w:p w14:paraId="3D2B03A1">
            <w:pPr>
              <w:pStyle w:val="23"/>
              <w:spacing w:before="36" w:line="289" w:lineRule="auto"/>
              <w:ind w:left="114" w:right="240" w:firstLine="10"/>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1.总体要求</w:t>
            </w:r>
          </w:p>
          <w:p w14:paraId="2AFE6924">
            <w:pPr>
              <w:pStyle w:val="23"/>
              <w:spacing w:before="36" w:line="289" w:lineRule="auto"/>
              <w:ind w:left="114" w:right="240" w:firstLine="10"/>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（1）压缩设备采用水平卷刮压缩工艺，压缩机与垃圾箱体可连接和分离。</w:t>
            </w:r>
          </w:p>
          <w:p w14:paraId="4A1174E4">
            <w:pPr>
              <w:pStyle w:val="23"/>
              <w:spacing w:before="36" w:line="289" w:lineRule="auto"/>
              <w:ind w:left="114" w:right="240" w:firstLine="10"/>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（2）投料和转运的方式为：投料和转运为地面同平层，采用前进前出模式，即垃圾收集车从前方倒料进入垃圾压缩设备，待垃圾箱压满垃圾后，压缩机横向移动，配套勾臂车在设备前方将垃圾箱转运走。</w:t>
            </w:r>
          </w:p>
          <w:p w14:paraId="0E1161FF">
            <w:pPr>
              <w:pStyle w:val="23"/>
              <w:spacing w:before="36" w:line="289" w:lineRule="auto"/>
              <w:ind w:left="114" w:right="240" w:firstLine="10"/>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2.性能要求</w:t>
            </w:r>
          </w:p>
          <w:p w14:paraId="6C1D2D63">
            <w:pPr>
              <w:pStyle w:val="23"/>
              <w:spacing w:before="36" w:line="289" w:lineRule="auto"/>
              <w:ind w:left="114" w:right="240" w:firstLine="10"/>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（1）压缩机刮料装置与转运箱装填机构配合进行压缩。</w:t>
            </w:r>
          </w:p>
          <w:p w14:paraId="1C80469B">
            <w:pPr>
              <w:pStyle w:val="23"/>
              <w:spacing w:before="36" w:line="289" w:lineRule="auto"/>
              <w:ind w:left="114" w:right="240" w:firstLine="10"/>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（2）对接斗铰接于压缩机体上，对接斗翻起时与压缩机的进料口共同组成进料通道；</w:t>
            </w:r>
          </w:p>
          <w:p w14:paraId="7D298996">
            <w:pPr>
              <w:pStyle w:val="23"/>
              <w:spacing w:before="36" w:line="289" w:lineRule="auto"/>
              <w:ind w:left="114" w:right="240" w:firstLine="10"/>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（3）压缩机的进料通道为圆弧形，与压缩机的刮料装置运动轨迹适配，实现进料和刮料功能。</w:t>
            </w:r>
          </w:p>
          <w:p w14:paraId="40B6C54C">
            <w:pPr>
              <w:pStyle w:val="23"/>
              <w:spacing w:before="36" w:line="289" w:lineRule="auto"/>
              <w:ind w:left="114" w:right="240" w:firstLine="10"/>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（4）整个斗可放置在水平面上，能够满足微型钩臂式垃圾转运装置、人力垃圾收集车轻松开上斗内进行一次卸料，确保垃圾不落地，污水不撒漏至转运站内;</w:t>
            </w:r>
          </w:p>
          <w:p w14:paraId="417DD2A2">
            <w:pPr>
              <w:pStyle w:val="23"/>
              <w:spacing w:before="36" w:line="289" w:lineRule="auto"/>
              <w:ind w:left="114" w:right="240" w:firstLine="10"/>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（5）、对接斗由两只交接在压缩机两侧的提拉油缸进行动作，可实现水平倾翻，垃圾依靠自重送料，整个过程无扬尘、噪声低；压缩机移动时，对接斗可收起，并随压缩机左右移动。</w:t>
            </w:r>
          </w:p>
          <w:p w14:paraId="12EE9A8C">
            <w:pPr>
              <w:pStyle w:val="23"/>
              <w:spacing w:before="36" w:line="289" w:lineRule="auto"/>
              <w:ind w:left="114" w:right="240" w:firstLine="10"/>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（6）压缩机安装在移动机构上，可实现左右移动；压缩机移动机构由压缩机驱动轮座、电机、齿轮减速箱等组成，采用电机驱动，控制电机顺时针（或逆时针）转动，带动减速箱驱动压缩机左右移动。</w:t>
            </w:r>
          </w:p>
          <w:p w14:paraId="632BF7D7">
            <w:pPr>
              <w:pStyle w:val="23"/>
              <w:spacing w:before="36" w:line="289" w:lineRule="auto"/>
              <w:ind w:left="114" w:right="240" w:firstLine="10"/>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（7）压缩机设置有分离式垃圾站锁紧装置，压缩机与箱体分离时，先关闭垃圾箱进料门，再移动压缩机。必须确保箱体进料门开合处不残留垃圾，不带来二次污染。</w:t>
            </w:r>
          </w:p>
          <w:p w14:paraId="5D17710A">
            <w:pPr>
              <w:pStyle w:val="23"/>
              <w:spacing w:before="36" w:line="289" w:lineRule="auto"/>
              <w:ind w:left="114" w:right="240" w:firstLine="10"/>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（8）刮料装置及转运箱装填机构中的销轴、安装支座具有较好的防腐性能；</w:t>
            </w:r>
          </w:p>
          <w:p w14:paraId="7C0DA274">
            <w:pPr>
              <w:pStyle w:val="23"/>
              <w:spacing w:before="36" w:line="289" w:lineRule="auto"/>
              <w:ind w:left="114" w:right="240" w:firstLine="10"/>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需满足《GB/T10125-2021人造气氛腐蚀试验盐雾试验》≥720h检测评级10级的中性盐雾试验。(投标时提供承诺函，承诺中标交货时提供针对该项指标委托国家认可的检验检测机构出具的检验（测）报告）。</w:t>
            </w:r>
          </w:p>
          <w:p w14:paraId="061B4E81">
            <w:pPr>
              <w:pStyle w:val="23"/>
              <w:spacing w:before="36" w:line="289" w:lineRule="auto"/>
              <w:ind w:left="114" w:right="240" w:firstLine="10"/>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（9）压缩机弧形底板采用高强度耐磨板，硬度≥400HB，屈服强度≥1200MPa,断后伸长率≥12%；</w:t>
            </w:r>
          </w:p>
          <w:p w14:paraId="0A174805">
            <w:pPr>
              <w:pStyle w:val="23"/>
              <w:spacing w:before="36" w:line="289" w:lineRule="auto"/>
              <w:ind w:left="114" w:right="240" w:firstLine="10"/>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（10）各运动副应使用规定的润滑剂，润滑油杯（嘴）应配置齐全，注油点位置应可视性好，加注方便；</w:t>
            </w:r>
          </w:p>
          <w:p w14:paraId="423EA428">
            <w:pPr>
              <w:pStyle w:val="23"/>
              <w:spacing w:before="36" w:line="289" w:lineRule="auto"/>
              <w:ind w:left="114" w:right="240" w:firstLine="10"/>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（11）电气控制柜具有良好的防水防尘性能；其防水性能优于IPX6，防尘性能优于IP5X；</w:t>
            </w:r>
          </w:p>
          <w:p w14:paraId="0A89D98F">
            <w:pPr>
              <w:pStyle w:val="23"/>
              <w:spacing w:before="36" w:line="289" w:lineRule="auto"/>
              <w:ind w:left="114" w:right="240" w:firstLine="10"/>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（12）所投压缩设备具有信息化售后管理系统。</w:t>
            </w:r>
          </w:p>
          <w:p w14:paraId="5E864EB5">
            <w:pPr>
              <w:pStyle w:val="23"/>
              <w:spacing w:before="36" w:line="289" w:lineRule="auto"/>
              <w:ind w:left="114" w:right="240" w:firstLine="10"/>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二、转运箱</w:t>
            </w:r>
          </w:p>
          <w:p w14:paraId="33D89734">
            <w:pPr>
              <w:pStyle w:val="23"/>
              <w:spacing w:before="36" w:line="289" w:lineRule="auto"/>
              <w:ind w:left="114" w:right="240" w:firstLine="10"/>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（1）转运箱与压缩机配合进行卷刮压缩作业，箱体结构为前装后卸式，前部设置有可旋转的装填机构，将垃圾装填至转运箱内</w:t>
            </w:r>
          </w:p>
          <w:p w14:paraId="552E06A3">
            <w:pPr>
              <w:pStyle w:val="23"/>
              <w:spacing w:before="36" w:line="289" w:lineRule="auto"/>
              <w:ind w:left="114" w:right="240" w:firstLine="10"/>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（2）垃圾箱长×宽×高（mm）：≤4900×2490×2200</w:t>
            </w:r>
          </w:p>
          <w:p w14:paraId="0CAF5950">
            <w:pPr>
              <w:pStyle w:val="23"/>
              <w:spacing w:before="36" w:line="289" w:lineRule="auto"/>
              <w:ind w:left="114" w:right="240" w:firstLine="10"/>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（3）垃圾箱体容积（m³):≥14</w:t>
            </w:r>
          </w:p>
          <w:p w14:paraId="460D85AB">
            <w:pPr>
              <w:pStyle w:val="23"/>
              <w:spacing w:before="36" w:line="289" w:lineRule="auto"/>
              <w:ind w:left="114" w:right="240" w:firstLine="10"/>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（4）卸料循环时间（s）：≤40</w:t>
            </w:r>
          </w:p>
          <w:p w14:paraId="0D0B5C65">
            <w:pPr>
              <w:pStyle w:val="23"/>
              <w:spacing w:before="36" w:line="289" w:lineRule="auto"/>
              <w:ind w:left="114" w:right="240" w:firstLine="10"/>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（5）箱体上下车最大高度（mm）：≤5000</w:t>
            </w:r>
          </w:p>
          <w:p w14:paraId="4747349E">
            <w:pPr>
              <w:pStyle w:val="23"/>
              <w:spacing w:before="36" w:line="289" w:lineRule="auto"/>
              <w:ind w:left="114" w:right="240" w:firstLine="10"/>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（6）箱体材质（边板及底板）：等同或优于Q345钢板，厚度（mm）≥4</w:t>
            </w:r>
          </w:p>
          <w:p w14:paraId="569ABDF2">
            <w:pPr>
              <w:pStyle w:val="23"/>
              <w:spacing w:before="36" w:line="289" w:lineRule="auto"/>
              <w:ind w:left="114" w:right="240" w:firstLine="10"/>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（7）转运箱采用圆弧形设计，车箱外形流畅无过多加强筋。</w:t>
            </w:r>
          </w:p>
          <w:p w14:paraId="22C319A4">
            <w:pPr>
              <w:pStyle w:val="23"/>
              <w:spacing w:before="36" w:line="289" w:lineRule="auto"/>
              <w:ind w:left="114" w:right="240" w:firstLine="10"/>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（8）转运箱与压缩机配合进行卷刮压缩作业，箱体结构为前装后卸式，前部设置有可旋转的装填机构，将垃圾装填至转运箱内。</w:t>
            </w:r>
          </w:p>
          <w:p w14:paraId="57DBF2AF">
            <w:pPr>
              <w:pStyle w:val="23"/>
              <w:spacing w:before="36" w:line="289" w:lineRule="auto"/>
              <w:ind w:left="114" w:right="240" w:firstLine="10"/>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（9）转运箱卸料门液压锁紧机构：卸料门底框锁紧点不少于二点；两侧锁紧机构通过箱体底部的连杆轴联动，实现两侧同步联动锁紧，确保设备锁紧可靠，工作过程和运输过程无滴漏；</w:t>
            </w:r>
          </w:p>
          <w:p w14:paraId="6D39728F">
            <w:pPr>
              <w:pStyle w:val="23"/>
              <w:spacing w:before="36" w:line="289" w:lineRule="auto"/>
              <w:ind w:left="114" w:right="240" w:firstLine="10"/>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（10）箱体前小后大，形成喇叭形结构，卸料顺畅；</w:t>
            </w:r>
          </w:p>
          <w:p w14:paraId="69694045">
            <w:pPr>
              <w:pStyle w:val="23"/>
              <w:spacing w:before="36" w:line="289" w:lineRule="auto"/>
              <w:ind w:left="114" w:right="240" w:firstLine="10"/>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（11）转运箱箱体两侧配置有快速污水排放口，便于污水排放。能有效防止运输过程中垃圾、污水沿途撤漏，杜绝二次污染。</w:t>
            </w:r>
          </w:p>
          <w:p w14:paraId="0A0B9EEE">
            <w:pPr>
              <w:pStyle w:val="23"/>
              <w:spacing w:before="36" w:line="289" w:lineRule="auto"/>
              <w:ind w:left="114" w:right="240" w:firstLine="10"/>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（12）转运箱涂装前经抛丸处理，漆膜牢固，外观造型美观；</w:t>
            </w:r>
          </w:p>
          <w:p w14:paraId="7F26E38F">
            <w:pPr>
              <w:pStyle w:val="23"/>
              <w:spacing w:before="36" w:line="289" w:lineRule="auto"/>
              <w:ind w:left="114" w:leftChars="0" w:right="240" w:rightChars="0" w:firstLine="10" w:firstLineChars="0"/>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4"/>
                <w:sz w:val="21"/>
                <w:szCs w:val="21"/>
                <w:highlight w:val="none"/>
                <w:lang w:val="en-US" w:eastAsia="zh-CN"/>
              </w:rPr>
              <w:t>（13）箱体选用Q345优质钢板焊接而成，具有防水、防锈功能。</w:t>
            </w:r>
          </w:p>
        </w:tc>
        <w:tc>
          <w:tcPr>
            <w:tcW w:w="1797" w:type="dxa"/>
            <w:tcBorders>
              <w:top w:val="single" w:color="000000" w:sz="4" w:space="0"/>
              <w:left w:val="nil"/>
              <w:bottom w:val="single" w:color="000000" w:sz="4" w:space="0"/>
              <w:right w:val="single" w:color="000000" w:sz="4" w:space="0"/>
            </w:tcBorders>
            <w:shd w:val="clear" w:color="auto" w:fill="auto"/>
            <w:vAlign w:val="center"/>
          </w:tcPr>
          <w:p w14:paraId="111C5E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含安装</w:t>
            </w:r>
          </w:p>
        </w:tc>
      </w:tr>
      <w:tr w14:paraId="463EF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BA8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二标段</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2F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中转站设备更新</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DC5AB">
            <w:pPr>
              <w:jc w:val="center"/>
              <w:rPr>
                <w:rFonts w:hint="eastAsia" w:ascii="宋体" w:hAnsi="宋体" w:eastAsia="宋体" w:cs="宋体"/>
                <w:i w:val="0"/>
                <w:iCs w:val="0"/>
                <w:color w:val="auto"/>
                <w:sz w:val="21"/>
                <w:szCs w:val="21"/>
                <w:highlight w:val="none"/>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0EAF1">
            <w:pPr>
              <w:jc w:val="center"/>
              <w:rPr>
                <w:rFonts w:hint="eastAsia" w:ascii="宋体" w:hAnsi="宋体" w:eastAsia="宋体" w:cs="宋体"/>
                <w:i w:val="0"/>
                <w:iCs w:val="0"/>
                <w:color w:val="auto"/>
                <w:sz w:val="21"/>
                <w:szCs w:val="21"/>
                <w:highlight w:val="none"/>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24D2">
            <w:pPr>
              <w:jc w:val="center"/>
              <w:rPr>
                <w:rFonts w:hint="eastAsia" w:ascii="宋体" w:hAnsi="宋体" w:eastAsia="宋体" w:cs="宋体"/>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C9A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625</w:t>
            </w:r>
          </w:p>
        </w:tc>
        <w:tc>
          <w:tcPr>
            <w:tcW w:w="7500" w:type="dxa"/>
            <w:tcBorders>
              <w:top w:val="single" w:color="000000" w:sz="4" w:space="0"/>
              <w:left w:val="nil"/>
              <w:bottom w:val="single" w:color="000000" w:sz="4" w:space="0"/>
              <w:right w:val="single" w:color="000000" w:sz="4" w:space="0"/>
            </w:tcBorders>
            <w:shd w:val="clear" w:color="auto" w:fill="auto"/>
            <w:vAlign w:val="center"/>
          </w:tcPr>
          <w:p w14:paraId="01E746F9">
            <w:pPr>
              <w:jc w:val="center"/>
              <w:rPr>
                <w:rFonts w:hint="eastAsia" w:ascii="宋体" w:hAnsi="宋体" w:eastAsia="宋体" w:cs="宋体"/>
                <w:i w:val="0"/>
                <w:iCs w:val="0"/>
                <w:color w:val="auto"/>
                <w:sz w:val="21"/>
                <w:szCs w:val="21"/>
                <w:highlight w:val="none"/>
                <w:u w:val="none"/>
              </w:rPr>
            </w:pPr>
          </w:p>
        </w:tc>
        <w:tc>
          <w:tcPr>
            <w:tcW w:w="1797" w:type="dxa"/>
            <w:tcBorders>
              <w:top w:val="single" w:color="000000" w:sz="4" w:space="0"/>
              <w:left w:val="nil"/>
              <w:bottom w:val="single" w:color="000000" w:sz="4" w:space="0"/>
              <w:right w:val="single" w:color="000000" w:sz="4" w:space="0"/>
            </w:tcBorders>
            <w:shd w:val="clear" w:color="auto" w:fill="auto"/>
            <w:vAlign w:val="center"/>
          </w:tcPr>
          <w:p w14:paraId="3C2A1CF8">
            <w:pPr>
              <w:jc w:val="center"/>
              <w:rPr>
                <w:rFonts w:hint="eastAsia" w:ascii="宋体" w:hAnsi="宋体" w:eastAsia="宋体" w:cs="宋体"/>
                <w:i w:val="0"/>
                <w:iCs w:val="0"/>
                <w:color w:val="auto"/>
                <w:sz w:val="21"/>
                <w:szCs w:val="21"/>
                <w:highlight w:val="none"/>
                <w:u w:val="none"/>
                <w:lang w:eastAsia="zh-CN"/>
              </w:rPr>
            </w:pPr>
          </w:p>
        </w:tc>
      </w:tr>
      <w:tr w14:paraId="2D486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F37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B04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12方移动压缩箱</w:t>
            </w:r>
            <w:r>
              <w:rPr>
                <w:rFonts w:hint="eastAsia" w:ascii="宋体" w:hAnsi="宋体" w:cs="宋体"/>
                <w:i w:val="0"/>
                <w:iCs w:val="0"/>
                <w:color w:val="auto"/>
                <w:sz w:val="21"/>
                <w:szCs w:val="21"/>
                <w:highlight w:val="none"/>
                <w:u w:val="none"/>
                <w:lang w:val="en-US" w:eastAsia="zh-CN"/>
              </w:rPr>
              <w:t>25套</w:t>
            </w:r>
            <w:r>
              <w:rPr>
                <w:rFonts w:hint="eastAsia" w:ascii="宋体" w:hAnsi="宋体" w:eastAsia="宋体" w:cs="宋体"/>
                <w:i w:val="0"/>
                <w:iCs w:val="0"/>
                <w:color w:val="auto"/>
                <w:sz w:val="21"/>
                <w:szCs w:val="21"/>
                <w:highlight w:val="none"/>
                <w:u w:val="none"/>
              </w:rPr>
              <w:t>（含喷淋除臭装置15套）</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DA16B">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套</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C0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E90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1B5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625</w:t>
            </w:r>
          </w:p>
        </w:tc>
        <w:tc>
          <w:tcPr>
            <w:tcW w:w="7500" w:type="dxa"/>
            <w:tcBorders>
              <w:top w:val="single" w:color="000000" w:sz="4" w:space="0"/>
              <w:left w:val="nil"/>
              <w:bottom w:val="single" w:color="000000" w:sz="4" w:space="0"/>
              <w:right w:val="single" w:color="000000" w:sz="4" w:space="0"/>
            </w:tcBorders>
            <w:shd w:val="clear" w:color="auto" w:fill="auto"/>
            <w:vAlign w:val="center"/>
          </w:tcPr>
          <w:p w14:paraId="6D18482A">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562" w:firstLineChars="20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12立方移动压缩设备参数</w:t>
            </w:r>
          </w:p>
          <w:p w14:paraId="01F5F65E">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sz w:val="21"/>
                <w:szCs w:val="21"/>
                <w:highlight w:val="none"/>
              </w:rPr>
              <w:t>箱体容积：≥12m³</w:t>
            </w:r>
          </w:p>
          <w:p w14:paraId="16475BBF">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sz w:val="21"/>
                <w:szCs w:val="21"/>
                <w:highlight w:val="none"/>
              </w:rPr>
              <w:t>液压系统额定压力：≥18MPa</w:t>
            </w:r>
          </w:p>
          <w:p w14:paraId="4A612A97">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kern w:val="2"/>
                <w:sz w:val="21"/>
                <w:szCs w:val="21"/>
                <w:highlight w:val="none"/>
                <w:lang w:val="en-US" w:eastAsia="zh-CN" w:bidi="ar-SA"/>
              </w:rPr>
              <w:t>3.</w:t>
            </w:r>
            <w:r>
              <w:rPr>
                <w:rFonts w:hint="eastAsia" w:ascii="宋体" w:hAnsi="宋体" w:eastAsia="宋体" w:cs="宋体"/>
                <w:b/>
                <w:bCs/>
                <w:color w:val="auto"/>
                <w:sz w:val="21"/>
                <w:szCs w:val="21"/>
                <w:highlight w:val="none"/>
              </w:rPr>
              <w:t>压缩头和压缩腔材料应采用高强度耐磨钢，其屈服强度≥1000MPa，硬度≥400HBW</w:t>
            </w:r>
            <w:r>
              <w:rPr>
                <w:rFonts w:hint="eastAsia" w:ascii="宋体" w:hAnsi="宋体" w:eastAsia="宋体" w:cs="宋体"/>
                <w:b w:val="0"/>
                <w:bCs w:val="0"/>
                <w:color w:val="auto"/>
                <w:sz w:val="21"/>
                <w:szCs w:val="21"/>
                <w:highlight w:val="none"/>
              </w:rPr>
              <w:t>。</w:t>
            </w:r>
          </w:p>
          <w:p w14:paraId="1AF46C29">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4.</w:t>
            </w:r>
            <w:r>
              <w:rPr>
                <w:rFonts w:hint="eastAsia" w:ascii="宋体" w:hAnsi="宋体" w:eastAsia="宋体" w:cs="宋体"/>
                <w:b w:val="0"/>
                <w:bCs w:val="0"/>
                <w:color w:val="auto"/>
                <w:sz w:val="21"/>
                <w:szCs w:val="21"/>
                <w:highlight w:val="none"/>
              </w:rPr>
              <w:t>底轨外宽度：1060mm</w:t>
            </w:r>
          </w:p>
          <w:p w14:paraId="7929E200">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.最大压缩力：≥360KN</w:t>
            </w:r>
          </w:p>
          <w:p w14:paraId="04AC0ABA">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.压缩循环时间：≤50s</w:t>
            </w:r>
          </w:p>
          <w:p w14:paraId="0556316C">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.吨垃圾耗电量：≤0.35KW.H/T</w:t>
            </w:r>
          </w:p>
          <w:p w14:paraId="29BAEF4A">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.单程垃圾压缩量：≥0.8m³</w:t>
            </w:r>
          </w:p>
          <w:p w14:paraId="24619034">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.压缩方式：水平压缩,</w:t>
            </w:r>
          </w:p>
          <w:p w14:paraId="51E4D1DE">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.设备自重：≤5.5T</w:t>
            </w:r>
          </w:p>
          <w:p w14:paraId="2604B62D">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.额定工作电压：380V、50Hz（具有防水功能）</w:t>
            </w:r>
          </w:p>
          <w:p w14:paraId="1912F4D9">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.运行噪音：≤75dB</w:t>
            </w:r>
          </w:p>
          <w:p w14:paraId="4BA2BE99">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13</w:t>
            </w:r>
            <w:r>
              <w:rPr>
                <w:rFonts w:hint="eastAsia" w:ascii="宋体" w:hAnsi="宋体" w:eastAsia="宋体" w:cs="宋体"/>
                <w:b w:val="0"/>
                <w:bCs w:val="0"/>
                <w:color w:val="auto"/>
                <w:sz w:val="21"/>
                <w:szCs w:val="21"/>
                <w:highlight w:val="none"/>
              </w:rPr>
              <w:t>.电机功率：≤</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.5Kw</w:t>
            </w:r>
          </w:p>
          <w:p w14:paraId="29F9F0FA">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14</w:t>
            </w:r>
            <w:r>
              <w:rPr>
                <w:rFonts w:hint="eastAsia" w:ascii="宋体" w:hAnsi="宋体" w:eastAsia="宋体" w:cs="宋体"/>
                <w:b w:val="0"/>
                <w:bCs w:val="0"/>
                <w:color w:val="auto"/>
                <w:sz w:val="21"/>
                <w:szCs w:val="21"/>
                <w:highlight w:val="none"/>
              </w:rPr>
              <w:t>、压缩腔、压缩头要求：</w:t>
            </w:r>
          </w:p>
          <w:p w14:paraId="29DE2076">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1）压缩头在压缩腔内为无导轨、小间隙、水平式运动；压缩腔后部应有排污口，采用消防接头密封。</w:t>
            </w:r>
          </w:p>
          <w:p w14:paraId="07AF4539">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22" w:firstLineChars="20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bCs/>
                <w:color w:val="auto"/>
                <w:sz w:val="21"/>
                <w:szCs w:val="21"/>
                <w:highlight w:val="none"/>
              </w:rPr>
              <w:t>2）垃圾倾倒辅推装置：设备的压缩头除可以通过设备液压系统驱动外，应能在设备倾倒垃圾时通过车厢可卸式垃圾车液压系统驱动进行前后运动，避免垃圾倾倒不干净。系统应设计简单实用，在驾驶内即可进行操控</w:t>
            </w:r>
            <w:r>
              <w:rPr>
                <w:rFonts w:hint="eastAsia" w:ascii="宋体" w:hAnsi="宋体" w:eastAsia="宋体" w:cs="宋体"/>
                <w:b w:val="0"/>
                <w:bCs w:val="0"/>
                <w:color w:val="auto"/>
                <w:sz w:val="21"/>
                <w:szCs w:val="21"/>
                <w:highlight w:val="none"/>
              </w:rPr>
              <w:t>。</w:t>
            </w:r>
          </w:p>
          <w:p w14:paraId="3C6A9B96">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、料斗举升装置及连体式料斗：</w:t>
            </w:r>
          </w:p>
          <w:p w14:paraId="166CE8F9">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1）设备的料斗采用连体式结构，放下时用于收集车倒料，盖起时为压缩腔上盖。料斗内侧部位横梁增加无外漏加强筋。</w:t>
            </w:r>
          </w:p>
          <w:p w14:paraId="0BE2E217">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2）料斗有效宽度不小于2100mm，容积不小于</w:t>
            </w:r>
            <w:r>
              <w:rPr>
                <w:rFonts w:hint="eastAsia" w:ascii="宋体" w:hAnsi="宋体" w:eastAsia="宋体" w:cs="宋体"/>
                <w:b/>
                <w:bCs/>
                <w:color w:val="auto"/>
                <w:sz w:val="21"/>
                <w:szCs w:val="21"/>
                <w:highlight w:val="none"/>
                <w:lang w:val="en-US" w:eastAsia="zh-CN"/>
              </w:rPr>
              <w:t>3.5</w:t>
            </w:r>
            <w:r>
              <w:rPr>
                <w:rFonts w:hint="eastAsia" w:ascii="宋体" w:hAnsi="宋体" w:eastAsia="宋体" w:cs="宋体"/>
                <w:b/>
                <w:bCs/>
                <w:color w:val="auto"/>
                <w:sz w:val="21"/>
                <w:szCs w:val="21"/>
                <w:highlight w:val="none"/>
              </w:rPr>
              <w:t>m³</w:t>
            </w:r>
          </w:p>
          <w:p w14:paraId="1E1A24E7">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16</w:t>
            </w:r>
            <w:r>
              <w:rPr>
                <w:rFonts w:hint="eastAsia" w:ascii="宋体" w:hAnsi="宋体" w:eastAsia="宋体" w:cs="宋体"/>
                <w:b w:val="0"/>
                <w:bCs w:val="0"/>
                <w:color w:val="auto"/>
                <w:sz w:val="21"/>
                <w:szCs w:val="21"/>
                <w:highlight w:val="none"/>
              </w:rPr>
              <w:t>、其它结构要求：</w:t>
            </w:r>
          </w:p>
          <w:p w14:paraId="1C07ACDF">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1）垃圾集装箱的拖箱装置应符合1570mm的拉臂车配套标准。</w:t>
            </w:r>
          </w:p>
          <w:p w14:paraId="3A68895B">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20" w:firstLineChars="200"/>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val="0"/>
                <w:bCs w:val="0"/>
                <w:color w:val="auto"/>
                <w:sz w:val="21"/>
                <w:szCs w:val="21"/>
                <w:highlight w:val="none"/>
              </w:rPr>
              <w:t>2）垃圾集装箱的底梁应符合1060mm的拉臂车装载标准。</w:t>
            </w:r>
          </w:p>
          <w:p w14:paraId="2051D0AD">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17</w:t>
            </w:r>
            <w:r>
              <w:rPr>
                <w:rFonts w:hint="eastAsia" w:ascii="宋体" w:hAnsi="宋体" w:eastAsia="宋体" w:cs="宋体"/>
                <w:b w:val="0"/>
                <w:bCs w:val="0"/>
                <w:color w:val="auto"/>
                <w:sz w:val="21"/>
                <w:szCs w:val="21"/>
                <w:highlight w:val="none"/>
              </w:rPr>
              <w:t>、后门及密封系统：</w:t>
            </w:r>
          </w:p>
          <w:p w14:paraId="779E69ED">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22" w:firstLineChars="20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bCs/>
                <w:color w:val="auto"/>
                <w:sz w:val="21"/>
                <w:szCs w:val="21"/>
                <w:highlight w:val="none"/>
              </w:rPr>
              <w:t>1）</w:t>
            </w:r>
            <w:r>
              <w:rPr>
                <w:rFonts w:hint="eastAsia" w:ascii="宋体" w:hAnsi="宋体" w:eastAsia="宋体" w:cs="宋体"/>
                <w:b w:val="0"/>
                <w:bCs w:val="0"/>
                <w:color w:val="auto"/>
                <w:sz w:val="21"/>
                <w:szCs w:val="21"/>
                <w:highlight w:val="none"/>
              </w:rPr>
              <w:t>后门应为整板制作，无外漏加强筋。</w:t>
            </w:r>
          </w:p>
          <w:p w14:paraId="78F6D56B">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22" w:firstLineChars="20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bCs/>
                <w:color w:val="auto"/>
                <w:sz w:val="21"/>
                <w:szCs w:val="21"/>
                <w:highlight w:val="none"/>
              </w:rPr>
              <w:t>2）</w:t>
            </w:r>
            <w:r>
              <w:rPr>
                <w:rFonts w:hint="eastAsia" w:ascii="宋体" w:hAnsi="宋体" w:eastAsia="宋体" w:cs="宋体"/>
                <w:b w:val="0"/>
                <w:bCs w:val="0"/>
                <w:color w:val="auto"/>
                <w:sz w:val="21"/>
                <w:szCs w:val="21"/>
                <w:highlight w:val="none"/>
              </w:rPr>
              <w:t>设备后门锁紧方式：油缸液压锁紧（与原有钩臂车配套），后门锁紧采用从车厢可卸式垃圾车取力的液压锁紧装置锁紧，可在驾驶室内进行开门、倾倒、锁门的所有作业。</w:t>
            </w:r>
          </w:p>
          <w:p w14:paraId="5C4B9946">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22" w:firstLineChars="200"/>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3）后门密封可靠，采用整体式双唇密封胶条进行密封，保证污水不渗漏，避免形成二次污染（选用优质密封件）。</w:t>
            </w:r>
          </w:p>
          <w:p w14:paraId="7CC29D86">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rPr>
              <w:t>、液压系统要求：</w:t>
            </w:r>
          </w:p>
          <w:p w14:paraId="0035EBCD">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1）液压系统关键元器件：选用优质元器件。</w:t>
            </w:r>
          </w:p>
          <w:p w14:paraId="5CF9F400">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2）液压系统中压缩油缸应确保其耐腐蚀性，以保证使用寿命。</w:t>
            </w:r>
          </w:p>
          <w:p w14:paraId="757C2CFE">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3）液压系统原动机应采用不大于</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.5KW的380V三相交流电机。</w:t>
            </w:r>
          </w:p>
          <w:p w14:paraId="4EC15E1D">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4）液压系统应可加装液压油自动加热和散热装置。</w:t>
            </w:r>
          </w:p>
          <w:p w14:paraId="209D2733">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19</w:t>
            </w:r>
            <w:r>
              <w:rPr>
                <w:rFonts w:hint="eastAsia" w:ascii="宋体" w:hAnsi="宋体" w:eastAsia="宋体" w:cs="宋体"/>
                <w:b w:val="0"/>
                <w:bCs w:val="0"/>
                <w:color w:val="auto"/>
                <w:sz w:val="21"/>
                <w:szCs w:val="21"/>
                <w:highlight w:val="none"/>
              </w:rPr>
              <w:t>、控制系统要求：</w:t>
            </w:r>
          </w:p>
          <w:p w14:paraId="16B3577E">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1）采用7英寸彩色触摸显示屏。</w:t>
            </w:r>
          </w:p>
          <w:p w14:paraId="5AB5FA51">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2）控制系统关键元器件中编程微处理器PLC参照或相当于优质品牌技术水平。</w:t>
            </w:r>
          </w:p>
          <w:p w14:paraId="20DF5A80">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3）压缩头运动控制不可使用点位置传感器，以降低故障率。</w:t>
            </w:r>
          </w:p>
          <w:p w14:paraId="770C668D">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22" w:firstLineChars="200"/>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4）控制系统应实现装载量分段指示（1/4、1/2、3/4）及满载警示功能；应具有紧急停机功能；应具有压缩头强制回退功能。</w:t>
            </w:r>
          </w:p>
          <w:p w14:paraId="53AA237D">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5）控制系统应实现设备故障自动报警、诊断功能，报警诊断故障类型应包括：油温高温、相位错误、马达过载、油压过低、机械卡死、紧急停止。</w:t>
            </w:r>
          </w:p>
          <w:p w14:paraId="086A03CA">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6）设备的可显示系统的工作压力，压头前进与后退情况，及设备压缩工作时间计时。</w:t>
            </w:r>
          </w:p>
          <w:p w14:paraId="59503ED6">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7）设备除正常的工作模式外还应具备应急模式，以增加设备使用的可靠性，降低因操控装置故障导致停机的可能性。</w:t>
            </w:r>
          </w:p>
          <w:p w14:paraId="4557A990">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、压缩垃圾存储部分：</w:t>
            </w:r>
          </w:p>
          <w:p w14:paraId="3BF0B87E">
            <w:pPr>
              <w:keepNext w:val="0"/>
              <w:keepLines w:val="0"/>
              <w:pageBreakBefore w:val="0"/>
              <w:widowControl w:val="0"/>
              <w:numPr>
                <w:ilvl w:val="0"/>
                <w:numId w:val="0"/>
              </w:numPr>
              <w:kinsoku/>
              <w:wordWrap w:val="0"/>
              <w:overflowPunct/>
              <w:topLinePunct/>
              <w:autoSpaceDE/>
              <w:autoSpaceDN/>
              <w:bidi w:val="0"/>
              <w:adjustRightInd/>
              <w:snapToGri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val="0"/>
                <w:bCs w:val="0"/>
                <w:color w:val="auto"/>
                <w:sz w:val="21"/>
                <w:szCs w:val="21"/>
                <w:highlight w:val="none"/>
              </w:rPr>
              <w:t>压缩垃圾存储部分侧边板应为整板制作，不应有外漏加强筋。</w:t>
            </w:r>
          </w:p>
          <w:p w14:paraId="1D4014DF">
            <w:pPr>
              <w:keepNext w:val="0"/>
              <w:keepLines w:val="0"/>
              <w:pageBreakBefore w:val="0"/>
              <w:widowControl w:val="0"/>
              <w:numPr>
                <w:ilvl w:val="0"/>
                <w:numId w:val="0"/>
              </w:numPr>
              <w:kinsoku/>
              <w:wordWrap w:val="0"/>
              <w:overflowPunct/>
              <w:topLinePunct/>
              <w:autoSpaceDE/>
              <w:autoSpaceDN/>
              <w:bidi w:val="0"/>
              <w:adjustRightInd/>
              <w:snapToGrid/>
              <w:spacing w:line="36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bCs/>
                <w:color w:val="auto"/>
                <w:sz w:val="21"/>
                <w:szCs w:val="21"/>
                <w:highlight w:val="none"/>
              </w:rPr>
              <w:t>2）</w:t>
            </w:r>
            <w:r>
              <w:rPr>
                <w:rFonts w:hint="eastAsia" w:ascii="宋体" w:hAnsi="宋体" w:eastAsia="宋体" w:cs="宋体"/>
                <w:b w:val="0"/>
                <w:bCs w:val="0"/>
                <w:color w:val="auto"/>
                <w:sz w:val="21"/>
                <w:szCs w:val="21"/>
                <w:highlight w:val="none"/>
              </w:rPr>
              <w:t>压缩垃圾存储部分的整体造型应为倒锥体，倒料口大于压缩口，保证垃圾可以依靠自重完全倾倒出箱。</w:t>
            </w:r>
          </w:p>
          <w:p w14:paraId="46E46315">
            <w:pPr>
              <w:keepNext w:val="0"/>
              <w:keepLines w:val="0"/>
              <w:widowControl/>
              <w:suppressLineNumbers w:val="0"/>
              <w:ind w:firstLine="420" w:firstLineChars="200"/>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21</w:t>
            </w:r>
            <w:r>
              <w:rPr>
                <w:rFonts w:hint="eastAsia" w:ascii="宋体" w:hAnsi="宋体" w:eastAsia="宋体" w:cs="宋体"/>
                <w:b w:val="0"/>
                <w:bCs w:val="0"/>
                <w:color w:val="auto"/>
                <w:sz w:val="21"/>
                <w:szCs w:val="21"/>
                <w:highlight w:val="none"/>
              </w:rPr>
              <w:t>、设备的防腐处理工艺要求：设备的所有钢制部件应经过严格的防腐处理，应采用高压喷丸除锈工艺；参照或相当于优质品牌耐磨防腐底漆，参照或相当于高耐候性面漆喷涂。箱体表面要求采用高光油漆进行喷涂，高光度≥90。</w:t>
            </w:r>
          </w:p>
          <w:p w14:paraId="47FF3984">
            <w:pPr>
              <w:keepNext w:val="0"/>
              <w:keepLines w:val="0"/>
              <w:widowControl/>
              <w:suppressLineNumbers w:val="0"/>
              <w:ind w:firstLine="420" w:firstLineChars="200"/>
              <w:jc w:val="left"/>
              <w:textAlignment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22、12方移动式垃圾压缩设备轨道板参数：底轨长度：≧8000mm</w:t>
            </w:r>
          </w:p>
          <w:p w14:paraId="3F19F654">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562" w:firstLineChars="20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喷淋除臭装置</w:t>
            </w:r>
          </w:p>
          <w:p w14:paraId="3711BBE9">
            <w:pPr>
              <w:keepNext w:val="0"/>
              <w:keepLines w:val="0"/>
              <w:pageBreakBefore w:val="0"/>
              <w:widowControl w:val="0"/>
              <w:numPr>
                <w:ilvl w:val="0"/>
                <w:numId w:val="0"/>
              </w:numPr>
              <w:kinsoku/>
              <w:wordWrap w:val="0"/>
              <w:overflowPunct/>
              <w:topLinePunct/>
              <w:autoSpaceDE/>
              <w:autoSpaceDN/>
              <w:bidi w:val="0"/>
              <w:adjustRightInd/>
              <w:snapToGrid/>
              <w:spacing w:line="360" w:lineRule="auto"/>
              <w:jc w:val="both"/>
              <w:textAlignment w:val="auto"/>
              <w:rPr>
                <w:rFonts w:hint="eastAsia" w:ascii="宋体" w:hAnsi="宋体" w:eastAsia="宋体" w:cs="宋体"/>
                <w:color w:val="auto"/>
                <w:kern w:val="2"/>
                <w:sz w:val="24"/>
                <w:szCs w:val="24"/>
                <w:highlight w:val="none"/>
                <w:u w:val="none"/>
                <w:lang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u w:val="none"/>
                <w:lang w:eastAsia="zh-CN"/>
              </w:rPr>
              <w:t>空间雾化喷淋除臭系统</w:t>
            </w:r>
          </w:p>
          <w:p w14:paraId="49DC2C00">
            <w:pPr>
              <w:keepNext w:val="0"/>
              <w:keepLines w:val="0"/>
              <w:pageBreakBefore w:val="0"/>
              <w:widowControl w:val="0"/>
              <w:numPr>
                <w:ilvl w:val="0"/>
                <w:numId w:val="0"/>
              </w:numPr>
              <w:kinsoku/>
              <w:wordWrap w:val="0"/>
              <w:overflowPunct/>
              <w:topLinePunct/>
              <w:autoSpaceDE/>
              <w:autoSpaceDN/>
              <w:bidi w:val="0"/>
              <w:adjustRightInd/>
              <w:snapToGrid/>
              <w:spacing w:line="360" w:lineRule="auto"/>
              <w:jc w:val="both"/>
              <w:textAlignment w:val="auto"/>
              <w:rPr>
                <w:rFonts w:hint="eastAsia" w:ascii="宋体" w:hAnsi="宋体" w:eastAsia="宋体" w:cs="宋体"/>
                <w:color w:val="auto"/>
                <w:kern w:val="2"/>
                <w:sz w:val="24"/>
                <w:szCs w:val="24"/>
                <w:highlight w:val="none"/>
                <w:u w:val="none"/>
                <w:lang w:val="en-US" w:eastAsia="zh-CN"/>
              </w:rPr>
            </w:pPr>
            <w:r>
              <w:rPr>
                <w:rFonts w:hint="eastAsia" w:ascii="宋体" w:hAnsi="宋体" w:eastAsia="宋体" w:cs="宋体"/>
                <w:color w:val="auto"/>
                <w:kern w:val="2"/>
                <w:sz w:val="24"/>
                <w:szCs w:val="24"/>
                <w:highlight w:val="none"/>
                <w:u w:val="none"/>
                <w:lang w:val="en-US" w:eastAsia="zh-CN"/>
              </w:rPr>
              <w:t>1.1</w:t>
            </w:r>
            <w:r>
              <w:rPr>
                <w:rFonts w:hint="eastAsia" w:ascii="宋体" w:hAnsi="宋体" w:eastAsia="宋体" w:cs="宋体"/>
                <w:color w:val="auto"/>
                <w:kern w:val="2"/>
                <w:sz w:val="24"/>
                <w:szCs w:val="24"/>
                <w:highlight w:val="none"/>
                <w:u w:val="none"/>
                <w:lang w:eastAsia="zh-CN"/>
              </w:rPr>
              <w:t>空间雾化喷淋除臭系统是一种以雾治气的净化除臭设备装置，用高压泵将净水或混合药剂打压到50公斤以上，经高压管路，至高压喷嘴雾化，形成飘飞的雨丝，营造良好清新的环境空气，雾滴快速挥发，与污染因子发生吸附、分解，达到加湿、降温、降尘等多重效果，并且能除掉空气中的微量固体粉尘、增加空气湿度和负氧离子浓度，让人感觉心情舒畅；无人自动控制，无需集气罩、风管、离心风机、废气处理塔等大型设备，占地小，安装方便，维护简便，运行成本低。</w:t>
            </w:r>
          </w:p>
          <w:p w14:paraId="4C24D341">
            <w:pPr>
              <w:keepNext w:val="0"/>
              <w:keepLines w:val="0"/>
              <w:pageBreakBefore w:val="0"/>
              <w:widowControl w:val="0"/>
              <w:numPr>
                <w:ilvl w:val="0"/>
                <w:numId w:val="0"/>
              </w:numPr>
              <w:kinsoku/>
              <w:wordWrap w:val="0"/>
              <w:overflowPunct/>
              <w:topLinePunct/>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泵功率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≥0.75KW</w:t>
            </w:r>
          </w:p>
          <w:p w14:paraId="0A9D1FF5">
            <w:pPr>
              <w:keepNext w:val="0"/>
              <w:keepLines w:val="0"/>
              <w:pageBreakBefore w:val="0"/>
              <w:widowControl w:val="0"/>
              <w:numPr>
                <w:ilvl w:val="0"/>
                <w:numId w:val="0"/>
              </w:numPr>
              <w:kinsoku/>
              <w:wordWrap w:val="0"/>
              <w:overflowPunct/>
              <w:topLinePunct/>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输送泵流量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L/min</w:t>
            </w:r>
          </w:p>
          <w:p w14:paraId="6741BB86">
            <w:pPr>
              <w:keepNext w:val="0"/>
              <w:keepLines w:val="0"/>
              <w:pageBreakBefore w:val="0"/>
              <w:widowControl w:val="0"/>
              <w:numPr>
                <w:ilvl w:val="0"/>
                <w:numId w:val="0"/>
              </w:numPr>
              <w:kinsoku/>
              <w:wordWrap w:val="0"/>
              <w:overflowPunct/>
              <w:topLinePunct/>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输送泵压力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1-6MPa</w:t>
            </w:r>
          </w:p>
          <w:p w14:paraId="28C832E7">
            <w:pPr>
              <w:keepNext w:val="0"/>
              <w:keepLines w:val="0"/>
              <w:pageBreakBefore w:val="0"/>
              <w:widowControl w:val="0"/>
              <w:numPr>
                <w:ilvl w:val="0"/>
                <w:numId w:val="0"/>
              </w:numPr>
              <w:kinsoku/>
              <w:wordWrap w:val="0"/>
              <w:overflowPunct/>
              <w:topLinePunct/>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1.5喷嘴材质：</w:t>
            </w:r>
            <w:r>
              <w:rPr>
                <w:rFonts w:hint="eastAsia" w:ascii="宋体" w:hAnsi="宋体" w:eastAsia="宋体" w:cs="宋体"/>
                <w:color w:val="auto"/>
                <w:sz w:val="24"/>
                <w:szCs w:val="24"/>
                <w:highlight w:val="none"/>
              </w:rPr>
              <w:t>不锈钢</w:t>
            </w:r>
          </w:p>
          <w:p w14:paraId="707C001C">
            <w:pPr>
              <w:keepNext w:val="0"/>
              <w:keepLines w:val="0"/>
              <w:pageBreakBefore w:val="0"/>
              <w:widowControl w:val="0"/>
              <w:numPr>
                <w:ilvl w:val="0"/>
                <w:numId w:val="0"/>
              </w:numPr>
              <w:kinsoku/>
              <w:wordWrap w:val="0"/>
              <w:overflowPunct/>
              <w:topLinePunct/>
              <w:autoSpaceDE/>
              <w:autoSpaceDN/>
              <w:bidi w:val="0"/>
              <w:adjustRightInd/>
              <w:snapToGrid/>
              <w:spacing w:line="360" w:lineRule="auto"/>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1.6喷嘴数量：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个</w:t>
            </w:r>
          </w:p>
          <w:p w14:paraId="00D17E9C">
            <w:pPr>
              <w:keepNext w:val="0"/>
              <w:keepLines w:val="0"/>
              <w:pageBreakBefore w:val="0"/>
              <w:widowControl w:val="0"/>
              <w:numPr>
                <w:ilvl w:val="0"/>
                <w:numId w:val="0"/>
              </w:numPr>
              <w:kinsoku/>
              <w:wordWrap w:val="0"/>
              <w:overflowPunct/>
              <w:topLinePunct/>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lang w:eastAsia="zh-CN"/>
              </w:rPr>
              <w:t>喷淋</w:t>
            </w:r>
            <w:r>
              <w:rPr>
                <w:rFonts w:hint="eastAsia" w:ascii="宋体" w:hAnsi="宋体" w:eastAsia="宋体" w:cs="宋体"/>
                <w:color w:val="auto"/>
                <w:sz w:val="24"/>
                <w:szCs w:val="24"/>
                <w:highlight w:val="none"/>
              </w:rPr>
              <w:t>管材质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SUS304</w:t>
            </w:r>
          </w:p>
          <w:p w14:paraId="4D5F8F82">
            <w:pPr>
              <w:keepNext w:val="0"/>
              <w:keepLines w:val="0"/>
              <w:pageBreakBefore w:val="0"/>
              <w:widowControl w:val="0"/>
              <w:numPr>
                <w:ilvl w:val="0"/>
                <w:numId w:val="0"/>
              </w:numPr>
              <w:kinsoku/>
              <w:wordWrap w:val="0"/>
              <w:overflowPunct/>
              <w:topLinePunct/>
              <w:autoSpaceDE/>
              <w:autoSpaceDN/>
              <w:bidi w:val="0"/>
              <w:adjustRightInd/>
              <w:snapToGrid/>
              <w:spacing w:line="360" w:lineRule="auto"/>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1.8混液箱规格：≥30L</w:t>
            </w:r>
          </w:p>
          <w:p w14:paraId="0C37E442">
            <w:pPr>
              <w:keepNext w:val="0"/>
              <w:keepLines w:val="0"/>
              <w:pageBreakBefore w:val="0"/>
              <w:widowControl w:val="0"/>
              <w:numPr>
                <w:ilvl w:val="0"/>
                <w:numId w:val="1"/>
              </w:numPr>
              <w:kinsoku/>
              <w:wordWrap w:val="0"/>
              <w:overflowPunct/>
              <w:topLinePunct/>
              <w:autoSpaceDE/>
              <w:autoSpaceDN/>
              <w:bidi w:val="0"/>
              <w:adjustRightInd/>
              <w:snapToGrid/>
              <w:spacing w:line="360" w:lineRule="auto"/>
              <w:jc w:val="both"/>
              <w:textAlignment w:val="auto"/>
              <w:rPr>
                <w:rFonts w:hint="eastAsia" w:ascii="宋体" w:hAnsi="宋体" w:eastAsia="宋体" w:cs="宋体"/>
                <w:color w:val="auto"/>
                <w:spacing w:val="-6"/>
                <w:kern w:val="0"/>
                <w:sz w:val="24"/>
                <w:szCs w:val="24"/>
                <w:highlight w:val="none"/>
              </w:rPr>
            </w:pPr>
            <w:r>
              <w:rPr>
                <w:rFonts w:hint="eastAsia" w:ascii="宋体" w:hAnsi="宋体" w:eastAsia="宋体" w:cs="宋体"/>
                <w:b/>
                <w:color w:val="auto"/>
                <w:sz w:val="24"/>
                <w:szCs w:val="24"/>
                <w:highlight w:val="none"/>
                <w:lang w:val="en-US" w:eastAsia="zh-CN"/>
              </w:rPr>
              <w:t>高压清洗机，</w:t>
            </w:r>
            <w:r>
              <w:rPr>
                <w:rFonts w:hint="eastAsia" w:ascii="宋体" w:hAnsi="宋体" w:eastAsia="宋体" w:cs="宋体"/>
                <w:color w:val="auto"/>
                <w:spacing w:val="-6"/>
                <w:kern w:val="0"/>
                <w:sz w:val="24"/>
                <w:szCs w:val="24"/>
                <w:highlight w:val="none"/>
              </w:rPr>
              <w:t>高压清洗机用于对地面</w:t>
            </w:r>
            <w:r>
              <w:rPr>
                <w:rFonts w:hint="eastAsia" w:ascii="宋体" w:hAnsi="宋体" w:eastAsia="宋体" w:cs="宋体"/>
                <w:color w:val="auto"/>
                <w:spacing w:val="-6"/>
                <w:kern w:val="0"/>
                <w:sz w:val="24"/>
                <w:szCs w:val="24"/>
                <w:highlight w:val="none"/>
                <w:lang w:eastAsia="zh-CN"/>
              </w:rPr>
              <w:t>污染源</w:t>
            </w:r>
            <w:r>
              <w:rPr>
                <w:rFonts w:hint="eastAsia" w:ascii="宋体" w:hAnsi="宋体" w:eastAsia="宋体" w:cs="宋体"/>
                <w:color w:val="auto"/>
                <w:spacing w:val="-6"/>
                <w:kern w:val="0"/>
                <w:sz w:val="24"/>
                <w:szCs w:val="24"/>
                <w:highlight w:val="none"/>
              </w:rPr>
              <w:t>的冲洗作业。</w:t>
            </w:r>
          </w:p>
          <w:p w14:paraId="12693119">
            <w:pPr>
              <w:keepNext w:val="0"/>
              <w:keepLines w:val="0"/>
              <w:pageBreakBefore w:val="0"/>
              <w:widowControl w:val="0"/>
              <w:numPr>
                <w:ilvl w:val="0"/>
                <w:numId w:val="0"/>
              </w:numPr>
              <w:kinsoku/>
              <w:wordWrap w:val="0"/>
              <w:overflowPunct/>
              <w:topLinePunct/>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6"/>
                <w:kern w:val="0"/>
                <w:sz w:val="24"/>
                <w:szCs w:val="24"/>
                <w:highlight w:val="none"/>
                <w:lang w:val="en-US" w:eastAsia="zh-CN"/>
              </w:rPr>
              <w:t>2.1</w:t>
            </w:r>
            <w:r>
              <w:rPr>
                <w:rFonts w:hint="eastAsia" w:ascii="宋体" w:hAnsi="宋体" w:eastAsia="宋体" w:cs="宋体"/>
                <w:color w:val="auto"/>
                <w:sz w:val="24"/>
                <w:szCs w:val="24"/>
                <w:highlight w:val="none"/>
              </w:rPr>
              <w:t>电源(PH/伏特/赫兹)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1/230/50</w:t>
            </w:r>
          </w:p>
          <w:p w14:paraId="738AD99D">
            <w:pPr>
              <w:keepNext w:val="0"/>
              <w:keepLines w:val="0"/>
              <w:pageBreakBefore w:val="0"/>
              <w:widowControl w:val="0"/>
              <w:numPr>
                <w:ilvl w:val="0"/>
                <w:numId w:val="0"/>
              </w:numPr>
              <w:kinsoku/>
              <w:wordWrap w:val="0"/>
              <w:overflowPunct/>
              <w:topLinePunct/>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流量(升/小时)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≥5</w:t>
            </w:r>
          </w:p>
          <w:p w14:paraId="07438D89">
            <w:pPr>
              <w:keepNext w:val="0"/>
              <w:keepLines w:val="0"/>
              <w:pageBreakBefore w:val="0"/>
              <w:widowControl w:val="0"/>
              <w:numPr>
                <w:ilvl w:val="0"/>
                <w:numId w:val="0"/>
              </w:numPr>
              <w:kinsoku/>
              <w:wordWrap w:val="0"/>
              <w:overflowPunct/>
              <w:topLinePunct/>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尺寸(毫米)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400×455×700(长x宽x高)</w:t>
            </w:r>
            <w:r>
              <w:rPr>
                <w:rFonts w:hint="eastAsia" w:ascii="宋体" w:hAnsi="宋体" w:eastAsia="宋体" w:cs="宋体"/>
                <w:color w:val="auto"/>
                <w:sz w:val="24"/>
                <w:szCs w:val="24"/>
                <w:highlight w:val="none"/>
                <w:lang w:val="en-US" w:eastAsia="zh-CN"/>
              </w:rPr>
              <w:t>±5%</w:t>
            </w:r>
          </w:p>
          <w:p w14:paraId="255E7477">
            <w:pPr>
              <w:keepNext w:val="0"/>
              <w:keepLines w:val="0"/>
              <w:pageBreakBefore w:val="0"/>
              <w:widowControl w:val="0"/>
              <w:numPr>
                <w:ilvl w:val="0"/>
                <w:numId w:val="0"/>
              </w:numPr>
              <w:kinsoku/>
              <w:wordWrap w:val="0"/>
              <w:overflowPunct/>
              <w:topLinePunct/>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工作压力(巴/兆帕)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≥150/15</w:t>
            </w:r>
          </w:p>
          <w:p w14:paraId="6C4CA143">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0" w:firstLineChars="0"/>
              <w:jc w:val="both"/>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最大压力(巴/兆帕)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≥225/22.5</w:t>
            </w:r>
          </w:p>
        </w:tc>
        <w:tc>
          <w:tcPr>
            <w:tcW w:w="1797" w:type="dxa"/>
            <w:tcBorders>
              <w:top w:val="single" w:color="000000" w:sz="4" w:space="0"/>
              <w:left w:val="nil"/>
              <w:bottom w:val="single" w:color="000000" w:sz="4" w:space="0"/>
              <w:right w:val="single" w:color="000000" w:sz="4" w:space="0"/>
            </w:tcBorders>
            <w:shd w:val="clear" w:color="auto" w:fill="auto"/>
            <w:vAlign w:val="center"/>
          </w:tcPr>
          <w:p w14:paraId="56C80AE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含15套喷淋除臭设施及所有设备安装</w:t>
            </w:r>
          </w:p>
        </w:tc>
      </w:tr>
      <w:tr w14:paraId="51E00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2DA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三标段</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D3D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垃圾收集类车辆</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CDF10">
            <w:pPr>
              <w:jc w:val="center"/>
              <w:rPr>
                <w:rFonts w:hint="eastAsia" w:ascii="宋体" w:hAnsi="宋体" w:eastAsia="宋体" w:cs="宋体"/>
                <w:i w:val="0"/>
                <w:iCs w:val="0"/>
                <w:color w:val="auto"/>
                <w:sz w:val="21"/>
                <w:szCs w:val="21"/>
                <w:highlight w:val="none"/>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6AC3">
            <w:pPr>
              <w:jc w:val="center"/>
              <w:rPr>
                <w:rFonts w:hint="eastAsia" w:ascii="宋体" w:hAnsi="宋体" w:eastAsia="宋体" w:cs="宋体"/>
                <w:i w:val="0"/>
                <w:iCs w:val="0"/>
                <w:color w:val="auto"/>
                <w:sz w:val="21"/>
                <w:szCs w:val="21"/>
                <w:highlight w:val="none"/>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96C79">
            <w:pPr>
              <w:jc w:val="center"/>
              <w:rPr>
                <w:rFonts w:hint="eastAsia" w:ascii="宋体" w:hAnsi="宋体" w:eastAsia="宋体" w:cs="宋体"/>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6FC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1722</w:t>
            </w:r>
          </w:p>
        </w:tc>
        <w:tc>
          <w:tcPr>
            <w:tcW w:w="7500" w:type="dxa"/>
            <w:tcBorders>
              <w:top w:val="single" w:color="000000" w:sz="4" w:space="0"/>
              <w:left w:val="nil"/>
              <w:bottom w:val="single" w:color="000000" w:sz="4" w:space="0"/>
              <w:right w:val="single" w:color="000000" w:sz="4" w:space="0"/>
            </w:tcBorders>
            <w:shd w:val="clear" w:color="auto" w:fill="auto"/>
            <w:vAlign w:val="center"/>
          </w:tcPr>
          <w:p w14:paraId="33C4D48D">
            <w:pPr>
              <w:rPr>
                <w:rFonts w:hint="eastAsia" w:ascii="宋体" w:hAnsi="宋体" w:eastAsia="宋体" w:cs="宋体"/>
                <w:i w:val="0"/>
                <w:iCs w:val="0"/>
                <w:color w:val="auto"/>
                <w:sz w:val="21"/>
                <w:szCs w:val="21"/>
                <w:highlight w:val="none"/>
                <w:u w:val="none"/>
              </w:rPr>
            </w:pPr>
          </w:p>
        </w:tc>
        <w:tc>
          <w:tcPr>
            <w:tcW w:w="1797" w:type="dxa"/>
            <w:tcBorders>
              <w:top w:val="single" w:color="000000" w:sz="4" w:space="0"/>
              <w:left w:val="nil"/>
              <w:bottom w:val="single" w:color="000000" w:sz="4" w:space="0"/>
              <w:right w:val="single" w:color="000000" w:sz="4" w:space="0"/>
            </w:tcBorders>
            <w:shd w:val="clear" w:color="auto" w:fill="auto"/>
            <w:vAlign w:val="center"/>
          </w:tcPr>
          <w:p w14:paraId="54CC8849">
            <w:pPr>
              <w:rPr>
                <w:rFonts w:hint="eastAsia" w:ascii="宋体" w:hAnsi="宋体" w:eastAsia="宋体" w:cs="宋体"/>
                <w:i w:val="0"/>
                <w:iCs w:val="0"/>
                <w:color w:val="auto"/>
                <w:sz w:val="21"/>
                <w:szCs w:val="21"/>
                <w:highlight w:val="none"/>
                <w:u w:val="none"/>
                <w:lang w:eastAsia="zh-CN"/>
              </w:rPr>
            </w:pPr>
            <w:r>
              <w:rPr>
                <w:rFonts w:hint="eastAsia" w:ascii="宋体" w:hAnsi="宋体" w:cs="宋体"/>
                <w:i w:val="0"/>
                <w:iCs w:val="0"/>
                <w:color w:val="auto"/>
                <w:sz w:val="21"/>
                <w:szCs w:val="21"/>
                <w:highlight w:val="none"/>
                <w:u w:val="none"/>
                <w:lang w:eastAsia="zh-CN"/>
              </w:rPr>
              <w:t>所有车辆附带充电桩、电缆线，含安装调试</w:t>
            </w:r>
          </w:p>
        </w:tc>
      </w:tr>
      <w:tr w14:paraId="7D975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9"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AB7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B92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18吨勾臂车</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E51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辆</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21A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4F7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8C8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920</w:t>
            </w:r>
          </w:p>
        </w:tc>
        <w:tc>
          <w:tcPr>
            <w:tcW w:w="7500" w:type="dxa"/>
            <w:tcBorders>
              <w:top w:val="single" w:color="000000" w:sz="4" w:space="0"/>
              <w:left w:val="nil"/>
              <w:bottom w:val="single" w:color="000000" w:sz="4" w:space="0"/>
              <w:right w:val="single" w:color="000000" w:sz="4" w:space="0"/>
            </w:tcBorders>
            <w:shd w:val="clear" w:color="auto" w:fill="auto"/>
            <w:vAlign w:val="center"/>
          </w:tcPr>
          <w:p w14:paraId="5DD4E76F">
            <w:pPr>
              <w:spacing w:line="360" w:lineRule="auto"/>
              <w:jc w:val="center"/>
              <w:rPr>
                <w:rFonts w:hint="eastAsia" w:ascii="宋体" w:hAnsi="宋体" w:eastAsia="宋体" w:cs="宋体"/>
                <w:b/>
                <w:bCs/>
                <w:iCs/>
                <w:color w:val="auto"/>
                <w:sz w:val="21"/>
                <w:szCs w:val="21"/>
                <w:highlight w:val="none"/>
              </w:rPr>
            </w:pPr>
            <w:r>
              <w:rPr>
                <w:rFonts w:hint="eastAsia" w:ascii="宋体" w:hAnsi="宋体" w:eastAsia="宋体" w:cs="宋体"/>
                <w:b/>
                <w:bCs/>
                <w:iCs/>
                <w:color w:val="auto"/>
                <w:sz w:val="21"/>
                <w:szCs w:val="21"/>
                <w:highlight w:val="none"/>
              </w:rPr>
              <w:t>车厢可卸式垃圾车技术参数</w:t>
            </w:r>
          </w:p>
          <w:p w14:paraId="3C1A7DAE">
            <w:pPr>
              <w:spacing w:line="360" w:lineRule="auto"/>
              <w:rPr>
                <w:rFonts w:hint="eastAsia" w:ascii="宋体" w:hAnsi="宋体" w:eastAsia="宋体" w:cs="宋体"/>
                <w:b/>
                <w:bCs/>
                <w:iCs/>
                <w:color w:val="auto"/>
                <w:sz w:val="21"/>
                <w:szCs w:val="21"/>
                <w:highlight w:val="none"/>
              </w:rPr>
            </w:pPr>
            <w:r>
              <w:rPr>
                <w:rFonts w:hint="eastAsia" w:ascii="宋体" w:hAnsi="宋体" w:eastAsia="宋体" w:cs="宋体"/>
                <w:b/>
                <w:bCs/>
                <w:iCs/>
                <w:color w:val="auto"/>
                <w:sz w:val="21"/>
                <w:szCs w:val="21"/>
                <w:highlight w:val="none"/>
              </w:rPr>
              <w:t>一、主要技术参数</w:t>
            </w:r>
          </w:p>
          <w:p w14:paraId="2FC7217A">
            <w:pPr>
              <w:pStyle w:val="20"/>
              <w:numPr>
                <w:ilvl w:val="0"/>
                <w:numId w:val="0"/>
              </w:num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底盘电机额定功率(</w:t>
            </w:r>
            <w:r>
              <w:rPr>
                <w:rFonts w:hint="eastAsia" w:ascii="宋体" w:hAnsi="宋体" w:eastAsia="宋体" w:cs="宋体"/>
                <w:bCs/>
                <w:color w:val="auto"/>
                <w:sz w:val="21"/>
                <w:szCs w:val="21"/>
                <w:highlight w:val="none"/>
              </w:rPr>
              <w:t>kW</w:t>
            </w:r>
            <w:r>
              <w:rPr>
                <w:rFonts w:hint="eastAsia" w:ascii="宋体" w:hAnsi="宋体" w:eastAsia="宋体" w:cs="宋体"/>
                <w:color w:val="auto"/>
                <w:sz w:val="21"/>
                <w:szCs w:val="21"/>
                <w:highlight w:val="none"/>
              </w:rPr>
              <w:t>)≥80</w:t>
            </w:r>
          </w:p>
          <w:p w14:paraId="36883DDD">
            <w:pPr>
              <w:pStyle w:val="20"/>
              <w:numPr>
                <w:ilvl w:val="0"/>
                <w:numId w:val="0"/>
              </w:num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底盘电机峰值功率(</w:t>
            </w:r>
            <w:r>
              <w:rPr>
                <w:rFonts w:hint="eastAsia" w:ascii="宋体" w:hAnsi="宋体" w:eastAsia="宋体" w:cs="宋体"/>
                <w:bCs/>
                <w:color w:val="auto"/>
                <w:sz w:val="21"/>
                <w:szCs w:val="21"/>
                <w:highlight w:val="none"/>
              </w:rPr>
              <w:t>kW</w:t>
            </w:r>
            <w:r>
              <w:rPr>
                <w:rFonts w:hint="eastAsia" w:ascii="宋体" w:hAnsi="宋体" w:eastAsia="宋体" w:cs="宋体"/>
                <w:color w:val="auto"/>
                <w:sz w:val="21"/>
                <w:szCs w:val="21"/>
                <w:highlight w:val="none"/>
              </w:rPr>
              <w:t>)≥160</w:t>
            </w:r>
          </w:p>
          <w:p w14:paraId="0CAA3A4D">
            <w:pPr>
              <w:pStyle w:val="20"/>
              <w:numPr>
                <w:ilvl w:val="0"/>
                <w:numId w:val="0"/>
              </w:num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底盘电机类型:永磁同步电机</w:t>
            </w:r>
          </w:p>
          <w:p w14:paraId="2A7BA324">
            <w:pPr>
              <w:pStyle w:val="20"/>
              <w:numPr>
                <w:ilvl w:val="0"/>
                <w:numId w:val="0"/>
              </w:numPr>
              <w:spacing w:line="360"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总质量(kg)≥18000，</w:t>
            </w:r>
          </w:p>
          <w:p w14:paraId="6BF07131">
            <w:pPr>
              <w:pStyle w:val="20"/>
              <w:numPr>
                <w:ilvl w:val="0"/>
                <w:numId w:val="0"/>
              </w:numPr>
              <w:spacing w:line="360"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最高车速(km/h)≥89，</w:t>
            </w:r>
          </w:p>
          <w:p w14:paraId="610DE93C">
            <w:pPr>
              <w:pStyle w:val="20"/>
              <w:numPr>
                <w:ilvl w:val="0"/>
                <w:numId w:val="0"/>
              </w:numPr>
              <w:spacing w:line="360"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rPr>
              <w:t>额定载质量(kg)≥8300，</w:t>
            </w:r>
          </w:p>
          <w:p w14:paraId="556F490E">
            <w:pPr>
              <w:pStyle w:val="20"/>
              <w:numPr>
                <w:ilvl w:val="0"/>
                <w:numId w:val="0"/>
              </w:numPr>
              <w:spacing w:line="360"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sz w:val="21"/>
                <w:szCs w:val="21"/>
                <w:highlight w:val="none"/>
              </w:rPr>
              <w:t>外型尺寸：长×宽×高(mm)≤7200×2500×3000，</w:t>
            </w:r>
          </w:p>
          <w:p w14:paraId="68E8D039">
            <w:pPr>
              <w:pStyle w:val="20"/>
              <w:numPr>
                <w:ilvl w:val="0"/>
                <w:numId w:val="0"/>
              </w:num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8.</w:t>
            </w:r>
            <w:r>
              <w:rPr>
                <w:rFonts w:hint="eastAsia" w:ascii="宋体" w:hAnsi="宋体" w:eastAsia="宋体" w:cs="宋体"/>
                <w:color w:val="auto"/>
                <w:sz w:val="21"/>
                <w:szCs w:val="21"/>
                <w:highlight w:val="none"/>
              </w:rPr>
              <w:t>电池类型:磷酸铁锂电池或优于</w:t>
            </w:r>
          </w:p>
          <w:p w14:paraId="7933D09E">
            <w:pPr>
              <w:pStyle w:val="20"/>
              <w:numPr>
                <w:ilvl w:val="0"/>
                <w:numId w:val="0"/>
              </w:num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9.</w:t>
            </w:r>
            <w:r>
              <w:rPr>
                <w:rFonts w:hint="eastAsia" w:ascii="宋体" w:hAnsi="宋体" w:eastAsia="宋体" w:cs="宋体"/>
                <w:color w:val="auto"/>
                <w:sz w:val="21"/>
                <w:szCs w:val="21"/>
                <w:highlight w:val="none"/>
              </w:rPr>
              <w:t>电池总储电量(kwh)≥240</w:t>
            </w:r>
          </w:p>
          <w:p w14:paraId="40C0AAA3">
            <w:pPr>
              <w:pStyle w:val="20"/>
              <w:numPr>
                <w:ilvl w:val="0"/>
                <w:numId w:val="0"/>
              </w:num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10.</w:t>
            </w:r>
            <w:r>
              <w:rPr>
                <w:rFonts w:hint="eastAsia" w:ascii="宋体" w:hAnsi="宋体" w:eastAsia="宋体" w:cs="宋体"/>
                <w:color w:val="auto"/>
                <w:sz w:val="21"/>
                <w:szCs w:val="21"/>
                <w:highlight w:val="none"/>
              </w:rPr>
              <w:t>最小离地间隙(mm)≥240</w:t>
            </w:r>
          </w:p>
          <w:p w14:paraId="74A370A0">
            <w:pPr>
              <w:pStyle w:val="20"/>
              <w:numPr>
                <w:ilvl w:val="0"/>
                <w:numId w:val="0"/>
              </w:num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11.</w:t>
            </w:r>
            <w:r>
              <w:rPr>
                <w:rFonts w:hint="eastAsia" w:ascii="宋体" w:hAnsi="宋体" w:eastAsia="宋体" w:cs="宋体"/>
                <w:color w:val="auto"/>
                <w:sz w:val="21"/>
                <w:szCs w:val="21"/>
                <w:highlight w:val="none"/>
              </w:rPr>
              <w:t>拉箱作业时间(s)≤45</w:t>
            </w:r>
          </w:p>
          <w:p w14:paraId="18556BF1">
            <w:pPr>
              <w:pStyle w:val="20"/>
              <w:numPr>
                <w:ilvl w:val="0"/>
                <w:numId w:val="0"/>
              </w:num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12.</w:t>
            </w:r>
            <w:r>
              <w:rPr>
                <w:rFonts w:hint="eastAsia" w:ascii="宋体" w:hAnsi="宋体" w:eastAsia="宋体" w:cs="宋体"/>
                <w:color w:val="auto"/>
                <w:sz w:val="21"/>
                <w:szCs w:val="21"/>
                <w:highlight w:val="none"/>
              </w:rPr>
              <w:t>卸箱作业时间(s)≤60</w:t>
            </w:r>
          </w:p>
          <w:p w14:paraId="5182E320">
            <w:pPr>
              <w:pStyle w:val="20"/>
              <w:numPr>
                <w:ilvl w:val="0"/>
                <w:numId w:val="0"/>
              </w:num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13.</w:t>
            </w:r>
            <w:r>
              <w:rPr>
                <w:rFonts w:hint="eastAsia" w:ascii="宋体" w:hAnsi="宋体" w:eastAsia="宋体" w:cs="宋体"/>
                <w:color w:val="auto"/>
                <w:sz w:val="21"/>
                <w:szCs w:val="21"/>
                <w:highlight w:val="none"/>
              </w:rPr>
              <w:t>自卸角度()≥50</w:t>
            </w:r>
          </w:p>
          <w:p w14:paraId="135288FD">
            <w:pPr>
              <w:pStyle w:val="20"/>
              <w:numPr>
                <w:ilvl w:val="0"/>
                <w:numId w:val="0"/>
              </w:num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14.</w:t>
            </w:r>
            <w:r>
              <w:rPr>
                <w:rFonts w:hint="eastAsia" w:ascii="宋体" w:hAnsi="宋体" w:eastAsia="宋体" w:cs="宋体"/>
                <w:color w:val="auto"/>
                <w:kern w:val="0"/>
                <w:sz w:val="21"/>
                <w:szCs w:val="21"/>
                <w:highlight w:val="none"/>
                <w:lang w:val="zh-CN"/>
              </w:rPr>
              <w:t>钩心高度</w:t>
            </w:r>
            <w:r>
              <w:rPr>
                <w:rFonts w:hint="eastAsia" w:ascii="宋体" w:hAnsi="宋体" w:eastAsia="宋体" w:cs="宋体"/>
                <w:color w:val="auto"/>
                <w:sz w:val="21"/>
                <w:szCs w:val="21"/>
                <w:highlight w:val="none"/>
              </w:rPr>
              <w:t>(mm):1570±10</w:t>
            </w:r>
          </w:p>
          <w:p w14:paraId="577ACA68">
            <w:pPr>
              <w:pStyle w:val="20"/>
              <w:numPr>
                <w:ilvl w:val="0"/>
                <w:numId w:val="0"/>
              </w:num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15.</w:t>
            </w:r>
            <w:r>
              <w:rPr>
                <w:rFonts w:hint="eastAsia" w:ascii="宋体" w:hAnsi="宋体" w:eastAsia="宋体" w:cs="宋体"/>
                <w:color w:val="auto"/>
                <w:sz w:val="21"/>
                <w:szCs w:val="21"/>
                <w:highlight w:val="none"/>
              </w:rPr>
              <w:t>外导入宽度(mm):1070±10</w:t>
            </w:r>
          </w:p>
          <w:p w14:paraId="6C6F79C0">
            <w:pPr>
              <w:pStyle w:val="20"/>
              <w:numPr>
                <w:ilvl w:val="0"/>
                <w:numId w:val="0"/>
              </w:num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16.</w:t>
            </w:r>
            <w:r>
              <w:rPr>
                <w:rFonts w:hint="eastAsia" w:ascii="宋体" w:hAnsi="宋体" w:eastAsia="宋体" w:cs="宋体"/>
                <w:color w:val="auto"/>
                <w:sz w:val="21"/>
                <w:szCs w:val="21"/>
                <w:highlight w:val="none"/>
              </w:rPr>
              <w:t>滑臂水平移动距离(mm)≥900</w:t>
            </w:r>
          </w:p>
          <w:p w14:paraId="66A6929B">
            <w:pPr>
              <w:pStyle w:val="20"/>
              <w:numPr>
                <w:ilvl w:val="0"/>
                <w:numId w:val="0"/>
              </w:num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17.</w:t>
            </w:r>
            <w:r>
              <w:rPr>
                <w:rFonts w:hint="eastAsia" w:ascii="宋体" w:hAnsi="宋体" w:eastAsia="宋体" w:cs="宋体"/>
                <w:color w:val="auto"/>
                <w:sz w:val="21"/>
                <w:szCs w:val="21"/>
                <w:highlight w:val="none"/>
              </w:rPr>
              <w:t>额定提升能力(t)≥14</w:t>
            </w:r>
          </w:p>
          <w:p w14:paraId="0800B509">
            <w:pPr>
              <w:pStyle w:val="20"/>
              <w:numPr>
                <w:ilvl w:val="0"/>
                <w:numId w:val="0"/>
              </w:num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18.</w:t>
            </w:r>
            <w:r>
              <w:rPr>
                <w:rFonts w:hint="eastAsia" w:ascii="宋体" w:hAnsi="宋体" w:eastAsia="宋体" w:cs="宋体"/>
                <w:color w:val="auto"/>
                <w:sz w:val="21"/>
                <w:szCs w:val="21"/>
                <w:highlight w:val="none"/>
              </w:rPr>
              <w:t>液压系统压力(Mpa)≥30</w:t>
            </w:r>
          </w:p>
          <w:p w14:paraId="11302067">
            <w:pPr>
              <w:spacing w:line="360" w:lineRule="auto"/>
              <w:jc w:val="left"/>
              <w:rPr>
                <w:rFonts w:hint="eastAsia" w:ascii="宋体" w:hAnsi="宋体" w:eastAsia="宋体" w:cs="宋体"/>
                <w:b/>
                <w:bCs/>
                <w:iCs/>
                <w:color w:val="auto"/>
                <w:sz w:val="21"/>
                <w:szCs w:val="21"/>
                <w:highlight w:val="none"/>
              </w:rPr>
            </w:pPr>
            <w:r>
              <w:rPr>
                <w:rFonts w:hint="eastAsia" w:ascii="宋体" w:hAnsi="宋体" w:eastAsia="宋体" w:cs="宋体"/>
                <w:b/>
                <w:bCs/>
                <w:iCs/>
                <w:color w:val="auto"/>
                <w:sz w:val="21"/>
                <w:szCs w:val="21"/>
                <w:highlight w:val="none"/>
              </w:rPr>
              <w:t>二、主要性能特点</w:t>
            </w:r>
          </w:p>
          <w:p w14:paraId="75C50C0C">
            <w:pPr>
              <w:pStyle w:val="20"/>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需采用纯电动底盘，实现零排放，保护空气环境；</w:t>
            </w:r>
          </w:p>
          <w:p w14:paraId="31576E97">
            <w:pPr>
              <w:pStyle w:val="20"/>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整车控制器需可实现整车动力系统智能控制和高效能量管理，协调动力总成各部件有序工作，保证电动车安全、可靠、高效运行。可实时监测整车、电池、电机、高压附件、网络通讯及司机操作，完善的诊断服务可提供准确、快速的故障定位和维修服务，保证人员及车辆行车安全。</w:t>
            </w:r>
          </w:p>
          <w:p w14:paraId="4BB4F6A6">
            <w:pPr>
              <w:pStyle w:val="20"/>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需配有拉臂装置，具有拉箱、卸箱和卸料等。</w:t>
            </w:r>
          </w:p>
          <w:p w14:paraId="69224069">
            <w:pPr>
              <w:pStyle w:val="20"/>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拉臂装置需装有箱体锁，用于锁紧箱体，限制箱体移动，保证安全运输，在卸料过程中起到保护拉臂装置的作用。</w:t>
            </w:r>
          </w:p>
          <w:p w14:paraId="04CB7E6D">
            <w:pPr>
              <w:pStyle w:val="20"/>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拉臂的关键部位需采用高强度精铸件，提高安全性和延长使用寿命，并提供实物照片证明。</w:t>
            </w:r>
          </w:p>
          <w:p w14:paraId="254ACC8B">
            <w:pPr>
              <w:pStyle w:val="20"/>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rPr>
              <w:t>在驾驶室内操作者需可通过操作盒完成所有动作的控制。</w:t>
            </w:r>
          </w:p>
          <w:p w14:paraId="4ACB75F6">
            <w:pPr>
              <w:pStyle w:val="20"/>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sz w:val="21"/>
                <w:szCs w:val="21"/>
                <w:highlight w:val="none"/>
              </w:rPr>
              <w:t>操作盒需可手持，操作者坐在驾驶座上或站立于驾驶室外均可进行操作。</w:t>
            </w:r>
          </w:p>
          <w:p w14:paraId="4EBE08C2">
            <w:pPr>
              <w:pStyle w:val="20"/>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8.</w:t>
            </w:r>
            <w:r>
              <w:rPr>
                <w:rFonts w:hint="eastAsia" w:ascii="宋体" w:hAnsi="宋体" w:eastAsia="宋体" w:cs="宋体"/>
                <w:color w:val="auto"/>
                <w:sz w:val="21"/>
                <w:szCs w:val="21"/>
                <w:highlight w:val="none"/>
              </w:rPr>
              <w:t>拉臂上装需设置有多层电液互锁逻辑控制装置，安全性高。如：在卸料工况时，需要箱体锁和自卸锁锁上以后，箱体才能举升卸料；卸料过程中，箱体锁与前架不能动作。</w:t>
            </w:r>
          </w:p>
          <w:p w14:paraId="665CB34A">
            <w:pPr>
              <w:pStyle w:val="20"/>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9.</w:t>
            </w:r>
            <w:r>
              <w:rPr>
                <w:rFonts w:hint="eastAsia" w:ascii="宋体" w:hAnsi="宋体" w:eastAsia="宋体" w:cs="宋体"/>
                <w:color w:val="auto"/>
                <w:sz w:val="21"/>
                <w:szCs w:val="21"/>
                <w:highlight w:val="none"/>
              </w:rPr>
              <w:t>液压系统中需设置箱体缓冲回落装置，当箱体下降到一定角度后，传感器触发电信号，电路控制液压系统中的缓冲阀，使箱体能平缓的下降到车辆上，避免刚性冲击。</w:t>
            </w:r>
          </w:p>
          <w:p w14:paraId="4F72346A">
            <w:pPr>
              <w:pStyle w:val="20"/>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10.</w:t>
            </w:r>
            <w:r>
              <w:rPr>
                <w:rFonts w:hint="eastAsia" w:ascii="宋体" w:hAnsi="宋体" w:eastAsia="宋体" w:cs="宋体"/>
                <w:color w:val="auto"/>
                <w:sz w:val="21"/>
                <w:szCs w:val="21"/>
                <w:highlight w:val="none"/>
              </w:rPr>
              <w:t>车辆尾部需安装有后滚轮支撑装置，拉臂车拉满载箱体前将后滚轮支撑在地面，防止车辆向后倾翻，安全可靠</w:t>
            </w: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lang w:eastAsia="zh-CN"/>
              </w:rPr>
              <w:t>需提供实物彩页或官方网页证明或照片证明等证明材料</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w:t>
            </w:r>
          </w:p>
          <w:p w14:paraId="0D5B8159">
            <w:pPr>
              <w:pStyle w:val="20"/>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11.</w:t>
            </w:r>
            <w:r>
              <w:rPr>
                <w:rFonts w:hint="eastAsia" w:ascii="宋体" w:hAnsi="宋体" w:eastAsia="宋体" w:cs="宋体"/>
                <w:color w:val="auto"/>
                <w:sz w:val="21"/>
                <w:szCs w:val="21"/>
                <w:highlight w:val="none"/>
              </w:rPr>
              <w:t>车辆需装配有安全支撑装置，车辆因维修需要举升拉臂时，可撑起安全撑杆，保护维修人员安全</w:t>
            </w: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lang w:eastAsia="zh-CN"/>
              </w:rPr>
              <w:t>需提供实物彩页或官方网页证明或照片证明等证明材料</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w:t>
            </w:r>
          </w:p>
        </w:tc>
        <w:tc>
          <w:tcPr>
            <w:tcW w:w="1797" w:type="dxa"/>
            <w:tcBorders>
              <w:top w:val="single" w:color="000000" w:sz="4" w:space="0"/>
              <w:left w:val="nil"/>
              <w:bottom w:val="single" w:color="000000" w:sz="4" w:space="0"/>
              <w:right w:val="single" w:color="000000" w:sz="4" w:space="0"/>
            </w:tcBorders>
            <w:shd w:val="clear" w:color="auto" w:fill="auto"/>
            <w:vAlign w:val="center"/>
          </w:tcPr>
          <w:p w14:paraId="7409446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新能源车辆，包含牌照，一年保险（全险及商业三责险),车辆管理系统（车载北斗系统）</w:t>
            </w:r>
          </w:p>
        </w:tc>
      </w:tr>
      <w:tr w14:paraId="25CA2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9"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279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738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12吨压缩收集车</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4B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辆</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EFE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FD4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BB7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552</w:t>
            </w:r>
          </w:p>
        </w:tc>
        <w:tc>
          <w:tcPr>
            <w:tcW w:w="7500" w:type="dxa"/>
            <w:tcBorders>
              <w:top w:val="single" w:color="000000" w:sz="4" w:space="0"/>
              <w:left w:val="nil"/>
              <w:bottom w:val="single" w:color="000000" w:sz="4" w:space="0"/>
              <w:right w:val="single" w:color="000000" w:sz="4" w:space="0"/>
            </w:tcBorders>
            <w:shd w:val="clear" w:color="auto" w:fill="auto"/>
            <w:vAlign w:val="center"/>
          </w:tcPr>
          <w:p w14:paraId="39920CFF">
            <w:pPr>
              <w:spacing w:line="360" w:lineRule="auto"/>
              <w:jc w:val="center"/>
              <w:rPr>
                <w:rFonts w:hint="eastAsia" w:ascii="宋体" w:hAnsi="宋体" w:eastAsia="宋体" w:cs="宋体"/>
                <w:b/>
                <w:bCs/>
                <w:iCs/>
                <w:color w:val="auto"/>
                <w:sz w:val="21"/>
                <w:szCs w:val="21"/>
                <w:highlight w:val="none"/>
              </w:rPr>
            </w:pPr>
            <w:r>
              <w:rPr>
                <w:rFonts w:hint="eastAsia" w:ascii="宋体" w:hAnsi="宋体" w:eastAsia="宋体" w:cs="宋体"/>
                <w:b/>
                <w:bCs/>
                <w:iCs/>
                <w:color w:val="auto"/>
                <w:sz w:val="21"/>
                <w:szCs w:val="21"/>
                <w:highlight w:val="none"/>
              </w:rPr>
              <w:t>压缩式垃圾车技术参数</w:t>
            </w:r>
          </w:p>
          <w:p w14:paraId="52632015">
            <w:pPr>
              <w:spacing w:line="360" w:lineRule="auto"/>
              <w:rPr>
                <w:rFonts w:hint="eastAsia" w:ascii="宋体" w:hAnsi="宋体" w:eastAsia="宋体" w:cs="宋体"/>
                <w:color w:val="auto"/>
                <w:sz w:val="21"/>
                <w:szCs w:val="21"/>
                <w:highlight w:val="none"/>
              </w:rPr>
            </w:pPr>
            <w:r>
              <w:rPr>
                <w:rFonts w:hint="eastAsia" w:ascii="宋体" w:hAnsi="宋体" w:eastAsia="宋体" w:cs="宋体"/>
                <w:b/>
                <w:bCs/>
                <w:iCs/>
                <w:color w:val="auto"/>
                <w:sz w:val="21"/>
                <w:szCs w:val="21"/>
                <w:highlight w:val="none"/>
              </w:rPr>
              <w:t>一、主要技术参数</w:t>
            </w:r>
          </w:p>
          <w:p w14:paraId="31FAD5B3">
            <w:pPr>
              <w:pStyle w:val="20"/>
              <w:numPr>
                <w:ilvl w:val="0"/>
                <w:numId w:val="0"/>
              </w:numPr>
              <w:spacing w:line="360" w:lineRule="auto"/>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底盘电机峰值功率(</w:t>
            </w:r>
            <w:r>
              <w:rPr>
                <w:rFonts w:hint="eastAsia" w:ascii="宋体" w:hAnsi="宋体" w:eastAsia="宋体" w:cs="宋体"/>
                <w:bCs/>
                <w:color w:val="auto"/>
                <w:sz w:val="21"/>
                <w:szCs w:val="21"/>
                <w:highlight w:val="none"/>
              </w:rPr>
              <w:t>kW</w:t>
            </w:r>
            <w:r>
              <w:rPr>
                <w:rFonts w:hint="eastAsia" w:ascii="宋体" w:hAnsi="宋体" w:eastAsia="宋体" w:cs="宋体"/>
                <w:color w:val="auto"/>
                <w:sz w:val="21"/>
                <w:szCs w:val="21"/>
                <w:highlight w:val="none"/>
              </w:rPr>
              <w:t>)≥160</w:t>
            </w:r>
          </w:p>
          <w:p w14:paraId="46873717">
            <w:pPr>
              <w:pStyle w:val="20"/>
              <w:numPr>
                <w:ilvl w:val="0"/>
                <w:numId w:val="0"/>
              </w:numPr>
              <w:spacing w:line="360" w:lineRule="auto"/>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外型尺寸：长×宽×高(mm)≥6500×2200×2500</w:t>
            </w:r>
          </w:p>
          <w:p w14:paraId="0431C6F2">
            <w:pPr>
              <w:pStyle w:val="20"/>
              <w:numPr>
                <w:ilvl w:val="0"/>
                <w:numId w:val="0"/>
              </w:numPr>
              <w:spacing w:line="360" w:lineRule="auto"/>
              <w:ind w:left="420" w:leftChars="0" w:hanging="42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总质量(kg)：11000-13000，</w:t>
            </w:r>
          </w:p>
          <w:p w14:paraId="023C27CF">
            <w:pPr>
              <w:pStyle w:val="20"/>
              <w:numPr>
                <w:ilvl w:val="0"/>
                <w:numId w:val="0"/>
              </w:numPr>
              <w:spacing w:line="360" w:lineRule="auto"/>
              <w:ind w:left="420" w:leftChars="0" w:hanging="42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整备质量(kg)≤6900，</w:t>
            </w:r>
          </w:p>
          <w:p w14:paraId="14FE9FF9">
            <w:pPr>
              <w:pStyle w:val="20"/>
              <w:numPr>
                <w:ilvl w:val="0"/>
                <w:numId w:val="0"/>
              </w:numPr>
              <w:spacing w:line="360" w:lineRule="auto"/>
              <w:ind w:left="420" w:leftChars="0" w:hanging="42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额定载质量(kg)≥5400，</w:t>
            </w:r>
          </w:p>
          <w:p w14:paraId="7FBD3781">
            <w:pPr>
              <w:pStyle w:val="20"/>
              <w:numPr>
                <w:ilvl w:val="0"/>
                <w:numId w:val="0"/>
              </w:numPr>
              <w:spacing w:line="360" w:lineRule="auto"/>
              <w:ind w:left="420" w:leftChars="0" w:hanging="42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rPr>
              <w:t>最高车速(km/h)≥89，</w:t>
            </w:r>
          </w:p>
          <w:p w14:paraId="6DFD9043">
            <w:pPr>
              <w:pStyle w:val="20"/>
              <w:numPr>
                <w:ilvl w:val="0"/>
                <w:numId w:val="0"/>
              </w:numPr>
              <w:spacing w:line="360" w:lineRule="auto"/>
              <w:ind w:left="420" w:leftChars="0" w:hanging="42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sz w:val="21"/>
                <w:szCs w:val="21"/>
                <w:highlight w:val="none"/>
              </w:rPr>
              <w:t>驾驶室准乘人数(人)≥3，</w:t>
            </w:r>
          </w:p>
          <w:p w14:paraId="6BC6F16A">
            <w:pPr>
              <w:pStyle w:val="20"/>
              <w:numPr>
                <w:ilvl w:val="0"/>
                <w:numId w:val="0"/>
              </w:numPr>
              <w:spacing w:line="360" w:lineRule="auto"/>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8.</w:t>
            </w:r>
            <w:r>
              <w:rPr>
                <w:rFonts w:hint="eastAsia" w:ascii="宋体" w:hAnsi="宋体" w:eastAsia="宋体" w:cs="宋体"/>
                <w:color w:val="auto"/>
                <w:sz w:val="21"/>
                <w:szCs w:val="21"/>
                <w:highlight w:val="none"/>
              </w:rPr>
              <w:t>电池种类:磷酸铁锂或优于</w:t>
            </w:r>
          </w:p>
          <w:p w14:paraId="5B022805">
            <w:pPr>
              <w:pStyle w:val="20"/>
              <w:numPr>
                <w:ilvl w:val="0"/>
                <w:numId w:val="0"/>
              </w:numPr>
              <w:spacing w:line="360" w:lineRule="auto"/>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9.</w:t>
            </w:r>
            <w:r>
              <w:rPr>
                <w:rFonts w:hint="eastAsia" w:ascii="宋体" w:hAnsi="宋体" w:eastAsia="宋体" w:cs="宋体"/>
                <w:color w:val="auto"/>
                <w:sz w:val="21"/>
                <w:szCs w:val="21"/>
                <w:highlight w:val="none"/>
              </w:rPr>
              <w:t>电池总储电量(kwh)≥140</w:t>
            </w:r>
          </w:p>
          <w:p w14:paraId="0499E147">
            <w:pPr>
              <w:pStyle w:val="20"/>
              <w:numPr>
                <w:ilvl w:val="0"/>
                <w:numId w:val="0"/>
              </w:numPr>
              <w:spacing w:line="360" w:lineRule="auto"/>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10.</w:t>
            </w:r>
            <w:r>
              <w:rPr>
                <w:rFonts w:hint="eastAsia" w:ascii="宋体" w:hAnsi="宋体" w:eastAsia="宋体" w:cs="宋体"/>
                <w:color w:val="auto"/>
                <w:sz w:val="21"/>
                <w:szCs w:val="21"/>
                <w:highlight w:val="none"/>
              </w:rPr>
              <w:t>压填工作循环时间(s)≤13，需提供第三方检验报告证明</w:t>
            </w:r>
          </w:p>
          <w:p w14:paraId="1D6BBFB4">
            <w:pPr>
              <w:pStyle w:val="20"/>
              <w:numPr>
                <w:ilvl w:val="0"/>
                <w:numId w:val="0"/>
              </w:numPr>
              <w:spacing w:line="360" w:lineRule="auto"/>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11.</w:t>
            </w:r>
            <w:r>
              <w:rPr>
                <w:rFonts w:hint="eastAsia" w:ascii="宋体" w:hAnsi="宋体" w:eastAsia="宋体" w:cs="宋体"/>
                <w:color w:val="auto"/>
                <w:sz w:val="21"/>
                <w:szCs w:val="21"/>
                <w:highlight w:val="none"/>
              </w:rPr>
              <w:t>上料工作循环时间(s)≤10，需提供第三方检验报告证明</w:t>
            </w:r>
          </w:p>
          <w:p w14:paraId="797ADA93">
            <w:pPr>
              <w:pStyle w:val="20"/>
              <w:numPr>
                <w:ilvl w:val="0"/>
                <w:numId w:val="0"/>
              </w:numPr>
              <w:spacing w:line="360" w:lineRule="auto"/>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12.</w:t>
            </w:r>
            <w:r>
              <w:rPr>
                <w:rFonts w:hint="eastAsia" w:ascii="宋体" w:hAnsi="宋体" w:eastAsia="宋体" w:cs="宋体"/>
                <w:color w:val="auto"/>
                <w:sz w:val="21"/>
                <w:szCs w:val="21"/>
                <w:highlight w:val="none"/>
              </w:rPr>
              <w:t>卸料时间(s)≤45，需提供第三方检验报告证明</w:t>
            </w:r>
          </w:p>
          <w:p w14:paraId="7944950A">
            <w:pPr>
              <w:pStyle w:val="20"/>
              <w:numPr>
                <w:ilvl w:val="0"/>
                <w:numId w:val="0"/>
              </w:numPr>
              <w:spacing w:line="360" w:lineRule="auto"/>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13.</w:t>
            </w:r>
            <w:r>
              <w:rPr>
                <w:rFonts w:hint="eastAsia" w:ascii="宋体" w:hAnsi="宋体" w:eastAsia="宋体" w:cs="宋体"/>
                <w:color w:val="auto"/>
                <w:sz w:val="21"/>
                <w:szCs w:val="21"/>
                <w:highlight w:val="none"/>
              </w:rPr>
              <w:t>垃圾箱有效容积(m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)≥6.8</w:t>
            </w:r>
          </w:p>
          <w:p w14:paraId="37FE6744">
            <w:pPr>
              <w:pStyle w:val="20"/>
              <w:numPr>
                <w:ilvl w:val="0"/>
                <w:numId w:val="0"/>
              </w:numPr>
              <w:spacing w:line="360" w:lineRule="auto"/>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14.</w:t>
            </w:r>
            <w:r>
              <w:rPr>
                <w:rFonts w:hint="eastAsia" w:ascii="宋体" w:hAnsi="宋体" w:eastAsia="宋体" w:cs="宋体"/>
                <w:color w:val="auto"/>
                <w:sz w:val="21"/>
                <w:szCs w:val="21"/>
                <w:highlight w:val="none"/>
              </w:rPr>
              <w:t>污水箱总容积(L)≥600</w:t>
            </w:r>
          </w:p>
          <w:p w14:paraId="11993939">
            <w:pPr>
              <w:spacing w:line="360" w:lineRule="auto"/>
              <w:rPr>
                <w:rFonts w:hint="eastAsia" w:ascii="宋体" w:hAnsi="宋体" w:eastAsia="宋体" w:cs="宋体"/>
                <w:color w:val="auto"/>
                <w:sz w:val="21"/>
                <w:szCs w:val="21"/>
                <w:highlight w:val="none"/>
              </w:rPr>
            </w:pPr>
            <w:r>
              <w:rPr>
                <w:rFonts w:hint="eastAsia" w:ascii="宋体" w:hAnsi="宋体" w:eastAsia="宋体" w:cs="宋体"/>
                <w:b/>
                <w:bCs/>
                <w:iCs/>
                <w:color w:val="auto"/>
                <w:sz w:val="21"/>
                <w:szCs w:val="21"/>
                <w:highlight w:val="none"/>
              </w:rPr>
              <w:t>二、主要性能特点</w:t>
            </w:r>
          </w:p>
          <w:p w14:paraId="353899D2">
            <w:pPr>
              <w:pStyle w:val="20"/>
              <w:numPr>
                <w:ilvl w:val="0"/>
                <w:numId w:val="0"/>
              </w:numPr>
              <w:spacing w:line="360" w:lineRule="auto"/>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需采用双向压缩技术，压缩能力强。</w:t>
            </w:r>
          </w:p>
          <w:p w14:paraId="3E913F2E">
            <w:pPr>
              <w:pStyle w:val="20"/>
              <w:numPr>
                <w:ilvl w:val="0"/>
                <w:numId w:val="0"/>
              </w:numPr>
              <w:spacing w:line="360" w:lineRule="auto"/>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液压系统需采用双联油泵，压填循环和上料循环联动互不影响。</w:t>
            </w:r>
          </w:p>
          <w:p w14:paraId="4B766991">
            <w:pPr>
              <w:pStyle w:val="20"/>
              <w:numPr>
                <w:ilvl w:val="0"/>
                <w:numId w:val="0"/>
              </w:numPr>
              <w:spacing w:line="360" w:lineRule="auto"/>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lang w:bidi="ar"/>
              </w:rPr>
              <w:t>产品的垃圾箱内腔关键部位需采用耐腐蚀性强的耐候钢，极限强度高，耐腐蚀能力强，使用寿命长，尤其适用于腐蚀性作业环境；</w:t>
            </w:r>
          </w:p>
          <w:p w14:paraId="3CB12D53">
            <w:pPr>
              <w:pStyle w:val="20"/>
              <w:numPr>
                <w:ilvl w:val="0"/>
                <w:numId w:val="0"/>
              </w:numPr>
              <w:spacing w:line="360" w:lineRule="auto"/>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填装器底部和垃圾箱底部需设有污水箱，提高产品的污水储存能力；</w:t>
            </w:r>
          </w:p>
          <w:p w14:paraId="4F1CEA87">
            <w:pPr>
              <w:pStyle w:val="20"/>
              <w:numPr>
                <w:ilvl w:val="0"/>
                <w:numId w:val="0"/>
              </w:numPr>
              <w:spacing w:line="360" w:lineRule="auto"/>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需设置有填装器盖</w:t>
            </w:r>
            <w:r>
              <w:rPr>
                <w:rFonts w:hint="eastAsia" w:ascii="宋体" w:hAnsi="宋体" w:eastAsia="宋体" w:cs="宋体"/>
                <w:b/>
                <w:color w:val="auto"/>
                <w:sz w:val="21"/>
                <w:szCs w:val="21"/>
                <w:highlight w:val="none"/>
                <w:lang w:bidi="ar"/>
              </w:rPr>
              <w:t>(</w:t>
            </w:r>
            <w:r>
              <w:rPr>
                <w:rFonts w:hint="eastAsia" w:ascii="宋体" w:hAnsi="宋体" w:cs="宋体"/>
                <w:b/>
                <w:color w:val="auto"/>
                <w:sz w:val="21"/>
                <w:szCs w:val="21"/>
                <w:highlight w:val="none"/>
                <w:lang w:eastAsia="zh-CN" w:bidi="ar"/>
              </w:rPr>
              <w:t>需提供实物彩页或官方网页证明或照片证明等证明材料</w:t>
            </w:r>
            <w:r>
              <w:rPr>
                <w:rFonts w:hint="eastAsia" w:ascii="宋体" w:hAnsi="宋体" w:eastAsia="宋体" w:cs="宋体"/>
                <w:b/>
                <w:color w:val="auto"/>
                <w:sz w:val="21"/>
                <w:szCs w:val="21"/>
                <w:highlight w:val="none"/>
                <w:lang w:bidi="ar"/>
              </w:rPr>
              <w:t>)</w:t>
            </w:r>
            <w:r>
              <w:rPr>
                <w:rFonts w:hint="eastAsia" w:ascii="宋体" w:hAnsi="宋体" w:eastAsia="宋体" w:cs="宋体"/>
                <w:color w:val="auto"/>
                <w:sz w:val="21"/>
                <w:szCs w:val="21"/>
                <w:highlight w:val="none"/>
              </w:rPr>
              <w:t>，用于遮挡填装斗，防止垃圾散落及臭气外泄的部件，通过气缸驱动填装器盖打开和关闭。</w:t>
            </w:r>
          </w:p>
          <w:p w14:paraId="36CFF65B">
            <w:pPr>
              <w:pStyle w:val="20"/>
              <w:numPr>
                <w:ilvl w:val="0"/>
                <w:numId w:val="0"/>
              </w:numPr>
              <w:spacing w:line="360" w:lineRule="auto"/>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lang w:bidi="ar"/>
              </w:rPr>
              <w:t>在驾驶室内和填装器尾部需分别安装有作业操控盒，驾驶室内的控制面板可控制推铲卸料和选择操作模式，填装器尾部的作业操控盒则控制压缩机构和上料机构的作业，操作方便；在垃圾填埋场，作业人员无须下车即可完成卸料。</w:t>
            </w:r>
          </w:p>
          <w:p w14:paraId="1484408E">
            <w:pPr>
              <w:pStyle w:val="20"/>
              <w:numPr>
                <w:ilvl w:val="0"/>
                <w:numId w:val="0"/>
              </w:numPr>
              <w:spacing w:line="360" w:lineRule="auto"/>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sz w:val="21"/>
                <w:szCs w:val="21"/>
                <w:highlight w:val="none"/>
                <w:lang w:bidi="ar"/>
              </w:rPr>
              <w:t>需采用</w:t>
            </w:r>
            <w:r>
              <w:rPr>
                <w:rFonts w:hint="eastAsia" w:ascii="宋体" w:hAnsi="宋体" w:eastAsia="宋体" w:cs="宋体"/>
                <w:color w:val="auto"/>
                <w:sz w:val="21"/>
                <w:szCs w:val="21"/>
                <w:highlight w:val="none"/>
              </w:rPr>
              <w:t>先进的“CAN总线+专用控制器模式”，并设置有保险继电器盒，有效保护电路；</w:t>
            </w:r>
          </w:p>
          <w:p w14:paraId="3D0B6AF4">
            <w:pPr>
              <w:pStyle w:val="20"/>
              <w:numPr>
                <w:ilvl w:val="0"/>
                <w:numId w:val="0"/>
              </w:numPr>
              <w:spacing w:line="360" w:lineRule="auto"/>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8.</w:t>
            </w:r>
            <w:r>
              <w:rPr>
                <w:rFonts w:hint="eastAsia" w:ascii="宋体" w:hAnsi="宋体" w:eastAsia="宋体" w:cs="宋体"/>
                <w:color w:val="auto"/>
                <w:sz w:val="21"/>
                <w:szCs w:val="21"/>
                <w:highlight w:val="none"/>
              </w:rPr>
              <w:t>需配备声音报警系统，能在卸料和维护作业时发出声音警示，提示操作人员谨慎操作。</w:t>
            </w:r>
          </w:p>
          <w:p w14:paraId="2AB6B5A1">
            <w:pPr>
              <w:pStyle w:val="20"/>
              <w:numPr>
                <w:ilvl w:val="0"/>
                <w:numId w:val="0"/>
              </w:numPr>
              <w:spacing w:line="360" w:lineRule="auto"/>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9.</w:t>
            </w:r>
            <w:r>
              <w:rPr>
                <w:rFonts w:hint="eastAsia" w:ascii="宋体" w:hAnsi="宋体" w:eastAsia="宋体" w:cs="宋体"/>
                <w:color w:val="auto"/>
                <w:sz w:val="21"/>
                <w:szCs w:val="21"/>
                <w:highlight w:val="none"/>
              </w:rPr>
              <w:t>填装器举升油缸需设计有安全阀</w:t>
            </w:r>
            <w:r>
              <w:rPr>
                <w:rFonts w:hint="eastAsia" w:ascii="宋体" w:hAnsi="宋体" w:eastAsia="宋体" w:cs="宋体"/>
                <w:b/>
                <w:color w:val="auto"/>
                <w:sz w:val="21"/>
                <w:szCs w:val="21"/>
                <w:highlight w:val="none"/>
                <w:lang w:bidi="ar"/>
              </w:rPr>
              <w:t>(</w:t>
            </w:r>
            <w:r>
              <w:rPr>
                <w:rFonts w:hint="eastAsia" w:ascii="宋体" w:hAnsi="宋体" w:cs="宋体"/>
                <w:b/>
                <w:color w:val="auto"/>
                <w:sz w:val="21"/>
                <w:szCs w:val="21"/>
                <w:highlight w:val="none"/>
                <w:lang w:eastAsia="zh-CN" w:bidi="ar"/>
              </w:rPr>
              <w:t>需提供实物彩页或官方网页证明或照片证明等证明材料</w:t>
            </w:r>
            <w:r>
              <w:rPr>
                <w:rFonts w:hint="eastAsia" w:ascii="宋体" w:hAnsi="宋体" w:eastAsia="宋体" w:cs="宋体"/>
                <w:b/>
                <w:color w:val="auto"/>
                <w:sz w:val="21"/>
                <w:szCs w:val="21"/>
                <w:highlight w:val="none"/>
                <w:lang w:bidi="ar"/>
              </w:rPr>
              <w:t>)</w:t>
            </w:r>
            <w:r>
              <w:rPr>
                <w:rFonts w:hint="eastAsia" w:ascii="宋体" w:hAnsi="宋体" w:eastAsia="宋体" w:cs="宋体"/>
                <w:color w:val="auto"/>
                <w:sz w:val="21"/>
                <w:szCs w:val="21"/>
                <w:highlight w:val="none"/>
              </w:rPr>
              <w:t>，即使油管爆裂，压填机构也不会突然下降造成恶性事故；</w:t>
            </w:r>
          </w:p>
          <w:p w14:paraId="15AA69DD">
            <w:pPr>
              <w:pStyle w:val="20"/>
              <w:numPr>
                <w:ilvl w:val="0"/>
                <w:numId w:val="0"/>
              </w:numPr>
              <w:spacing w:line="360" w:lineRule="auto"/>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10.</w:t>
            </w:r>
            <w:r>
              <w:rPr>
                <w:rFonts w:hint="eastAsia" w:ascii="宋体" w:hAnsi="宋体" w:eastAsia="宋体" w:cs="宋体"/>
                <w:color w:val="auto"/>
                <w:sz w:val="21"/>
                <w:szCs w:val="21"/>
                <w:highlight w:val="none"/>
                <w:lang w:bidi="ar"/>
              </w:rPr>
              <w:t>填装器上需设有安全撑杆</w:t>
            </w:r>
            <w:r>
              <w:rPr>
                <w:rFonts w:hint="eastAsia" w:ascii="宋体" w:hAnsi="宋体" w:eastAsia="宋体" w:cs="宋体"/>
                <w:b/>
                <w:color w:val="auto"/>
                <w:sz w:val="21"/>
                <w:szCs w:val="21"/>
                <w:highlight w:val="none"/>
                <w:lang w:bidi="ar"/>
              </w:rPr>
              <w:t>(</w:t>
            </w:r>
            <w:r>
              <w:rPr>
                <w:rFonts w:hint="eastAsia" w:ascii="宋体" w:hAnsi="宋体" w:cs="宋体"/>
                <w:b/>
                <w:color w:val="auto"/>
                <w:sz w:val="21"/>
                <w:szCs w:val="21"/>
                <w:highlight w:val="none"/>
                <w:lang w:eastAsia="zh-CN" w:bidi="ar"/>
              </w:rPr>
              <w:t>需提供实物彩页或官方网页证明或照片证明等证明材料</w:t>
            </w:r>
            <w:r>
              <w:rPr>
                <w:rFonts w:hint="eastAsia" w:ascii="宋体" w:hAnsi="宋体" w:eastAsia="宋体" w:cs="宋体"/>
                <w:b/>
                <w:color w:val="auto"/>
                <w:sz w:val="21"/>
                <w:szCs w:val="21"/>
                <w:highlight w:val="none"/>
                <w:lang w:bidi="ar"/>
              </w:rPr>
              <w:t>)</w:t>
            </w:r>
            <w:r>
              <w:rPr>
                <w:rFonts w:hint="eastAsia" w:ascii="宋体" w:hAnsi="宋体" w:eastAsia="宋体" w:cs="宋体"/>
                <w:color w:val="auto"/>
                <w:sz w:val="21"/>
                <w:szCs w:val="21"/>
                <w:highlight w:val="none"/>
                <w:lang w:bidi="ar"/>
              </w:rPr>
              <w:t>，避免填装器下降伤人；</w:t>
            </w:r>
          </w:p>
          <w:p w14:paraId="78A5DC97">
            <w:pPr>
              <w:pStyle w:val="20"/>
              <w:numPr>
                <w:ilvl w:val="0"/>
                <w:numId w:val="0"/>
              </w:numPr>
              <w:spacing w:line="360" w:lineRule="auto"/>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11.</w:t>
            </w:r>
            <w:r>
              <w:rPr>
                <w:rFonts w:hint="eastAsia" w:ascii="宋体" w:hAnsi="宋体" w:eastAsia="宋体" w:cs="宋体"/>
                <w:color w:val="auto"/>
                <w:sz w:val="21"/>
                <w:szCs w:val="21"/>
                <w:highlight w:val="none"/>
                <w:lang w:bidi="ar"/>
              </w:rPr>
              <w:t>产品上贴有安全标贴，引导操作人员安全操作。</w:t>
            </w:r>
          </w:p>
          <w:p w14:paraId="18BF1B09">
            <w:pPr>
              <w:pStyle w:val="20"/>
              <w:numPr>
                <w:ilvl w:val="0"/>
                <w:numId w:val="0"/>
              </w:numPr>
              <w:spacing w:line="360" w:lineRule="auto"/>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12.</w:t>
            </w:r>
            <w:r>
              <w:rPr>
                <w:rFonts w:hint="eastAsia" w:ascii="宋体" w:hAnsi="宋体" w:eastAsia="宋体" w:cs="宋体"/>
                <w:color w:val="auto"/>
                <w:sz w:val="21"/>
                <w:szCs w:val="21"/>
                <w:highlight w:val="none"/>
              </w:rPr>
              <w:t>填装器滑板轨道需采用专制型材，强度较普通碳钢高，使用寿命长；需采用整体式滑块结构，滑块材料选用高耐磨MC尼龙，具有自润滑功能和自排除垃圾能力。</w:t>
            </w:r>
          </w:p>
          <w:p w14:paraId="081A457B">
            <w:pPr>
              <w:pStyle w:val="20"/>
              <w:numPr>
                <w:ilvl w:val="0"/>
                <w:numId w:val="0"/>
              </w:numPr>
              <w:spacing w:line="360" w:lineRule="auto"/>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13.</w:t>
            </w:r>
            <w:r>
              <w:rPr>
                <w:rFonts w:hint="eastAsia" w:ascii="宋体" w:hAnsi="宋体" w:eastAsia="宋体" w:cs="宋体"/>
                <w:color w:val="auto"/>
                <w:sz w:val="21"/>
                <w:szCs w:val="21"/>
                <w:highlight w:val="none"/>
              </w:rPr>
              <w:t>上料机构、压缩机构运动铰点处需装有自润滑轴承，降低轴孔处的磨损。</w:t>
            </w:r>
          </w:p>
          <w:p w14:paraId="7C7CA528">
            <w:pPr>
              <w:pStyle w:val="20"/>
              <w:numPr>
                <w:ilvl w:val="0"/>
                <w:numId w:val="0"/>
              </w:numPr>
              <w:spacing w:line="360" w:lineRule="auto"/>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14.</w:t>
            </w:r>
            <w:r>
              <w:rPr>
                <w:rFonts w:hint="eastAsia" w:ascii="宋体" w:hAnsi="宋体" w:eastAsia="宋体" w:cs="宋体"/>
                <w:color w:val="auto"/>
                <w:sz w:val="21"/>
                <w:szCs w:val="21"/>
                <w:highlight w:val="none"/>
              </w:rPr>
              <w:t>需配置有硫化橡胶的挡桶杆</w:t>
            </w:r>
            <w:r>
              <w:rPr>
                <w:rFonts w:hint="eastAsia" w:ascii="宋体" w:hAnsi="宋体" w:eastAsia="宋体" w:cs="宋体"/>
                <w:b/>
                <w:color w:val="auto"/>
                <w:sz w:val="21"/>
                <w:szCs w:val="21"/>
                <w:highlight w:val="none"/>
                <w:lang w:bidi="ar"/>
              </w:rPr>
              <w:t>(</w:t>
            </w:r>
            <w:r>
              <w:rPr>
                <w:rFonts w:hint="eastAsia" w:ascii="宋体" w:hAnsi="宋体" w:cs="宋体"/>
                <w:b/>
                <w:color w:val="auto"/>
                <w:sz w:val="21"/>
                <w:szCs w:val="21"/>
                <w:highlight w:val="none"/>
                <w:lang w:eastAsia="zh-CN" w:bidi="ar"/>
              </w:rPr>
              <w:t>需提供实物彩页或官方网页证明或照片证明等证明材料</w:t>
            </w:r>
            <w:r>
              <w:rPr>
                <w:rFonts w:hint="eastAsia" w:ascii="宋体" w:hAnsi="宋体" w:eastAsia="宋体" w:cs="宋体"/>
                <w:b/>
                <w:color w:val="auto"/>
                <w:sz w:val="21"/>
                <w:szCs w:val="21"/>
                <w:highlight w:val="none"/>
                <w:lang w:bidi="ar"/>
              </w:rPr>
              <w:t>)</w:t>
            </w:r>
            <w:r>
              <w:rPr>
                <w:rFonts w:hint="eastAsia" w:ascii="宋体" w:hAnsi="宋体" w:eastAsia="宋体" w:cs="宋体"/>
                <w:color w:val="auto"/>
                <w:sz w:val="21"/>
                <w:szCs w:val="21"/>
                <w:highlight w:val="none"/>
              </w:rPr>
              <w:t>，在上料机构翻桶到位的时候，可缓冲垃圾桶和挡桶杆的碰撞，降低冲击噪声，同时防止塑料垃圾桶在倾翻到位惯性作用下发生脆断或掉入填装斗内的情况。</w:t>
            </w:r>
          </w:p>
          <w:p w14:paraId="6F3ACF1F">
            <w:pPr>
              <w:pStyle w:val="20"/>
              <w:numPr>
                <w:ilvl w:val="0"/>
                <w:numId w:val="0"/>
              </w:numPr>
              <w:spacing w:line="360" w:lineRule="auto"/>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15.</w:t>
            </w:r>
            <w:r>
              <w:rPr>
                <w:rFonts w:hint="eastAsia" w:ascii="宋体" w:hAnsi="宋体" w:eastAsia="宋体" w:cs="宋体"/>
                <w:color w:val="auto"/>
                <w:sz w:val="21"/>
                <w:szCs w:val="21"/>
                <w:highlight w:val="none"/>
              </w:rPr>
              <w:t>需采用独立油缸控制的可调式锁紧机构</w:t>
            </w:r>
            <w:r>
              <w:rPr>
                <w:rFonts w:hint="eastAsia" w:ascii="宋体" w:hAnsi="宋体" w:eastAsia="宋体" w:cs="宋体"/>
                <w:b/>
                <w:color w:val="auto"/>
                <w:sz w:val="21"/>
                <w:szCs w:val="21"/>
                <w:highlight w:val="none"/>
                <w:lang w:bidi="ar"/>
              </w:rPr>
              <w:t>(</w:t>
            </w:r>
            <w:r>
              <w:rPr>
                <w:rFonts w:hint="eastAsia" w:ascii="宋体" w:hAnsi="宋体" w:cs="宋体"/>
                <w:b/>
                <w:color w:val="auto"/>
                <w:sz w:val="21"/>
                <w:szCs w:val="21"/>
                <w:highlight w:val="none"/>
                <w:lang w:eastAsia="zh-CN" w:bidi="ar"/>
              </w:rPr>
              <w:t>需提供实物彩页或官方网页证明或照片证明等证明材料</w:t>
            </w:r>
            <w:r>
              <w:rPr>
                <w:rFonts w:hint="eastAsia" w:ascii="宋体" w:hAnsi="宋体" w:eastAsia="宋体" w:cs="宋体"/>
                <w:b/>
                <w:color w:val="auto"/>
                <w:sz w:val="21"/>
                <w:szCs w:val="21"/>
                <w:highlight w:val="none"/>
                <w:lang w:bidi="ar"/>
              </w:rPr>
              <w:t>)</w:t>
            </w:r>
            <w:r>
              <w:rPr>
                <w:rFonts w:hint="eastAsia" w:ascii="宋体" w:hAnsi="宋体" w:eastAsia="宋体" w:cs="宋体"/>
                <w:color w:val="auto"/>
                <w:sz w:val="21"/>
                <w:szCs w:val="21"/>
                <w:highlight w:val="none"/>
              </w:rPr>
              <w:t>，对填装器进行锁紧；</w:t>
            </w:r>
          </w:p>
          <w:p w14:paraId="71EC43CE">
            <w:pPr>
              <w:pStyle w:val="20"/>
              <w:numPr>
                <w:ilvl w:val="0"/>
                <w:numId w:val="0"/>
              </w:numPr>
              <w:spacing w:line="360" w:lineRule="auto"/>
              <w:ind w:left="420" w:leftChars="0" w:hanging="420" w:firstLineChars="0"/>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16.</w:t>
            </w:r>
            <w:r>
              <w:rPr>
                <w:rFonts w:hint="eastAsia" w:ascii="宋体" w:hAnsi="宋体" w:eastAsia="宋体" w:cs="宋体"/>
                <w:color w:val="auto"/>
                <w:sz w:val="21"/>
                <w:szCs w:val="21"/>
                <w:highlight w:val="none"/>
              </w:rPr>
              <w:t>需采用马蹄形结构的硅胶密封条，形成三道密封面，有效杜绝二次污染。</w:t>
            </w:r>
          </w:p>
        </w:tc>
        <w:tc>
          <w:tcPr>
            <w:tcW w:w="1797" w:type="dxa"/>
            <w:tcBorders>
              <w:top w:val="single" w:color="000000" w:sz="4" w:space="0"/>
              <w:left w:val="nil"/>
              <w:bottom w:val="single" w:color="000000" w:sz="4" w:space="0"/>
              <w:right w:val="single" w:color="000000" w:sz="4" w:space="0"/>
            </w:tcBorders>
            <w:shd w:val="clear" w:color="auto" w:fill="auto"/>
            <w:vAlign w:val="center"/>
          </w:tcPr>
          <w:p w14:paraId="030017E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新能源车辆，包含牌照，一年保险（全险及商业三责险),车辆管理系统（车载北斗系统）</w:t>
            </w:r>
          </w:p>
        </w:tc>
      </w:tr>
      <w:tr w14:paraId="57D07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9"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BBC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77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18吨压缩收集车</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091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辆</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512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DF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D25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7500" w:type="dxa"/>
            <w:tcBorders>
              <w:top w:val="single" w:color="000000" w:sz="4" w:space="0"/>
              <w:left w:val="nil"/>
              <w:bottom w:val="single" w:color="000000" w:sz="4" w:space="0"/>
              <w:right w:val="single" w:color="000000" w:sz="4" w:space="0"/>
            </w:tcBorders>
            <w:shd w:val="clear" w:color="auto" w:fill="auto"/>
            <w:vAlign w:val="center"/>
          </w:tcPr>
          <w:p w14:paraId="1B6E3A5D">
            <w:pPr>
              <w:spacing w:line="360" w:lineRule="auto"/>
              <w:jc w:val="center"/>
              <w:rPr>
                <w:rFonts w:hint="eastAsia" w:ascii="宋体" w:hAnsi="宋体" w:eastAsia="宋体" w:cs="宋体"/>
                <w:b/>
                <w:bCs/>
                <w:iCs/>
                <w:color w:val="auto"/>
                <w:sz w:val="21"/>
                <w:szCs w:val="21"/>
                <w:highlight w:val="none"/>
              </w:rPr>
            </w:pPr>
            <w:r>
              <w:rPr>
                <w:rFonts w:hint="eastAsia" w:ascii="宋体" w:hAnsi="宋体" w:eastAsia="宋体" w:cs="宋体"/>
                <w:b/>
                <w:bCs/>
                <w:iCs/>
                <w:color w:val="auto"/>
                <w:sz w:val="21"/>
                <w:szCs w:val="21"/>
                <w:highlight w:val="none"/>
              </w:rPr>
              <w:t>压缩式垃圾车技术参数</w:t>
            </w:r>
          </w:p>
          <w:p w14:paraId="067F962F">
            <w:pPr>
              <w:spacing w:line="360" w:lineRule="auto"/>
              <w:jc w:val="left"/>
              <w:rPr>
                <w:rFonts w:hint="eastAsia" w:ascii="宋体" w:hAnsi="宋体" w:eastAsia="宋体" w:cs="宋体"/>
                <w:b/>
                <w:bCs/>
                <w:iCs/>
                <w:color w:val="auto"/>
                <w:sz w:val="21"/>
                <w:szCs w:val="21"/>
                <w:highlight w:val="none"/>
              </w:rPr>
            </w:pPr>
            <w:r>
              <w:rPr>
                <w:rFonts w:hint="eastAsia" w:ascii="宋体" w:hAnsi="宋体" w:eastAsia="宋体" w:cs="宋体"/>
                <w:b/>
                <w:bCs/>
                <w:iCs/>
                <w:color w:val="auto"/>
                <w:sz w:val="21"/>
                <w:szCs w:val="21"/>
                <w:highlight w:val="none"/>
              </w:rPr>
              <w:t>一、主要技术参数</w:t>
            </w:r>
          </w:p>
          <w:p w14:paraId="06795BCD">
            <w:pPr>
              <w:pStyle w:val="20"/>
              <w:numPr>
                <w:ilvl w:val="0"/>
                <w:numId w:val="0"/>
              </w:numPr>
              <w:spacing w:line="360" w:lineRule="auto"/>
              <w:ind w:left="420" w:leftChars="0" w:hanging="42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总质量(kg)≥18000，</w:t>
            </w:r>
          </w:p>
          <w:p w14:paraId="0FE27C53">
            <w:pPr>
              <w:pStyle w:val="20"/>
              <w:numPr>
                <w:ilvl w:val="0"/>
                <w:numId w:val="0"/>
              </w:numPr>
              <w:spacing w:line="360" w:lineRule="auto"/>
              <w:ind w:left="420" w:leftChars="0" w:hanging="42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整备质量(kg)≤12200，</w:t>
            </w:r>
          </w:p>
          <w:p w14:paraId="20C087AD">
            <w:pPr>
              <w:pStyle w:val="20"/>
              <w:numPr>
                <w:ilvl w:val="0"/>
                <w:numId w:val="0"/>
              </w:numPr>
              <w:spacing w:line="360" w:lineRule="auto"/>
              <w:ind w:left="420" w:leftChars="0" w:hanging="42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额定载质量(kg)≥5700，</w:t>
            </w:r>
          </w:p>
          <w:p w14:paraId="3D667901">
            <w:pPr>
              <w:pStyle w:val="20"/>
              <w:numPr>
                <w:ilvl w:val="0"/>
                <w:numId w:val="0"/>
              </w:numPr>
              <w:spacing w:line="360" w:lineRule="auto"/>
              <w:ind w:left="420" w:leftChars="0" w:hanging="42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外型尺寸：长×宽×高(mm)≥8500×2500×3000，</w:t>
            </w:r>
          </w:p>
          <w:p w14:paraId="0B1EB205">
            <w:pPr>
              <w:pStyle w:val="20"/>
              <w:numPr>
                <w:ilvl w:val="0"/>
                <w:numId w:val="0"/>
              </w:numPr>
              <w:spacing w:line="360" w:lineRule="auto"/>
              <w:ind w:left="420" w:leftChars="0" w:hanging="42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最高车速(km/h)≥89，</w:t>
            </w:r>
          </w:p>
          <w:p w14:paraId="79B295F3">
            <w:pPr>
              <w:pStyle w:val="20"/>
              <w:numPr>
                <w:ilvl w:val="0"/>
                <w:numId w:val="0"/>
              </w:numPr>
              <w:spacing w:line="360" w:lineRule="auto"/>
              <w:ind w:left="420" w:leftChars="0" w:hanging="42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rPr>
              <w:t>接近角/离去角(°)≥15/15，</w:t>
            </w:r>
          </w:p>
          <w:p w14:paraId="19661ED8">
            <w:pPr>
              <w:pStyle w:val="20"/>
              <w:numPr>
                <w:ilvl w:val="0"/>
                <w:numId w:val="0"/>
              </w:numPr>
              <w:spacing w:line="360" w:lineRule="auto"/>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sz w:val="21"/>
                <w:szCs w:val="21"/>
                <w:highlight w:val="none"/>
              </w:rPr>
              <w:t>底盘电机额定功率(</w:t>
            </w:r>
            <w:r>
              <w:rPr>
                <w:rFonts w:hint="eastAsia" w:ascii="宋体" w:hAnsi="宋体" w:eastAsia="宋体" w:cs="宋体"/>
                <w:bCs/>
                <w:color w:val="auto"/>
                <w:sz w:val="21"/>
                <w:szCs w:val="21"/>
                <w:highlight w:val="none"/>
              </w:rPr>
              <w:t>kW</w:t>
            </w:r>
            <w:r>
              <w:rPr>
                <w:rFonts w:hint="eastAsia" w:ascii="宋体" w:hAnsi="宋体" w:eastAsia="宋体" w:cs="宋体"/>
                <w:color w:val="auto"/>
                <w:sz w:val="21"/>
                <w:szCs w:val="21"/>
                <w:highlight w:val="none"/>
              </w:rPr>
              <w:t>)≥80</w:t>
            </w:r>
          </w:p>
          <w:p w14:paraId="10526759">
            <w:pPr>
              <w:pStyle w:val="20"/>
              <w:numPr>
                <w:ilvl w:val="0"/>
                <w:numId w:val="0"/>
              </w:numPr>
              <w:spacing w:line="360" w:lineRule="auto"/>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8.</w:t>
            </w:r>
            <w:r>
              <w:rPr>
                <w:rFonts w:hint="eastAsia" w:ascii="宋体" w:hAnsi="宋体" w:eastAsia="宋体" w:cs="宋体"/>
                <w:color w:val="auto"/>
                <w:sz w:val="21"/>
                <w:szCs w:val="21"/>
                <w:highlight w:val="none"/>
              </w:rPr>
              <w:t>底盘电机峰值功率(</w:t>
            </w:r>
            <w:r>
              <w:rPr>
                <w:rFonts w:hint="eastAsia" w:ascii="宋体" w:hAnsi="宋体" w:eastAsia="宋体" w:cs="宋体"/>
                <w:bCs/>
                <w:color w:val="auto"/>
                <w:sz w:val="21"/>
                <w:szCs w:val="21"/>
                <w:highlight w:val="none"/>
              </w:rPr>
              <w:t>kW</w:t>
            </w:r>
            <w:r>
              <w:rPr>
                <w:rFonts w:hint="eastAsia" w:ascii="宋体" w:hAnsi="宋体" w:eastAsia="宋体" w:cs="宋体"/>
                <w:color w:val="auto"/>
                <w:sz w:val="21"/>
                <w:szCs w:val="21"/>
                <w:highlight w:val="none"/>
              </w:rPr>
              <w:t>)≥160</w:t>
            </w:r>
          </w:p>
          <w:p w14:paraId="61EB240B">
            <w:pPr>
              <w:pStyle w:val="20"/>
              <w:numPr>
                <w:ilvl w:val="0"/>
                <w:numId w:val="0"/>
              </w:numPr>
              <w:spacing w:line="360" w:lineRule="auto"/>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9.</w:t>
            </w:r>
            <w:r>
              <w:rPr>
                <w:rFonts w:hint="eastAsia" w:ascii="宋体" w:hAnsi="宋体" w:eastAsia="宋体" w:cs="宋体"/>
                <w:color w:val="auto"/>
                <w:sz w:val="21"/>
                <w:szCs w:val="21"/>
                <w:highlight w:val="none"/>
              </w:rPr>
              <w:t>底盘电机类型:永磁同步电机</w:t>
            </w:r>
          </w:p>
          <w:p w14:paraId="6CC9FB99">
            <w:pPr>
              <w:pStyle w:val="20"/>
              <w:numPr>
                <w:ilvl w:val="0"/>
                <w:numId w:val="0"/>
              </w:numPr>
              <w:spacing w:line="360" w:lineRule="auto"/>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10.</w:t>
            </w:r>
            <w:r>
              <w:rPr>
                <w:rFonts w:hint="eastAsia" w:ascii="宋体" w:hAnsi="宋体" w:eastAsia="宋体" w:cs="宋体"/>
                <w:color w:val="auto"/>
                <w:sz w:val="21"/>
                <w:szCs w:val="21"/>
                <w:highlight w:val="none"/>
              </w:rPr>
              <w:t>电池种类:磷酸铁锂或优于</w:t>
            </w:r>
          </w:p>
          <w:p w14:paraId="7CF476DE">
            <w:pPr>
              <w:pStyle w:val="20"/>
              <w:numPr>
                <w:ilvl w:val="0"/>
                <w:numId w:val="0"/>
              </w:numPr>
              <w:spacing w:line="360" w:lineRule="auto"/>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11.</w:t>
            </w:r>
            <w:r>
              <w:rPr>
                <w:rFonts w:hint="eastAsia" w:ascii="宋体" w:hAnsi="宋体" w:eastAsia="宋体" w:cs="宋体"/>
                <w:color w:val="auto"/>
                <w:sz w:val="21"/>
                <w:szCs w:val="21"/>
                <w:highlight w:val="none"/>
              </w:rPr>
              <w:t>电池总储电量(kwh)≥245</w:t>
            </w:r>
          </w:p>
          <w:p w14:paraId="4C06D43F">
            <w:pPr>
              <w:pStyle w:val="20"/>
              <w:numPr>
                <w:ilvl w:val="0"/>
                <w:numId w:val="0"/>
              </w:numPr>
              <w:spacing w:line="360" w:lineRule="auto"/>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12.</w:t>
            </w:r>
            <w:r>
              <w:rPr>
                <w:rFonts w:hint="eastAsia" w:ascii="宋体" w:hAnsi="宋体" w:eastAsia="宋体" w:cs="宋体"/>
                <w:color w:val="auto"/>
                <w:sz w:val="21"/>
                <w:szCs w:val="21"/>
                <w:highlight w:val="none"/>
              </w:rPr>
              <w:t>压缩循环时间(s)≤15</w:t>
            </w:r>
          </w:p>
          <w:p w14:paraId="612409ED">
            <w:pPr>
              <w:pStyle w:val="20"/>
              <w:numPr>
                <w:ilvl w:val="0"/>
                <w:numId w:val="0"/>
              </w:numPr>
              <w:spacing w:line="360" w:lineRule="auto"/>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13.</w:t>
            </w:r>
            <w:r>
              <w:rPr>
                <w:rFonts w:hint="eastAsia" w:ascii="宋体" w:hAnsi="宋体" w:eastAsia="宋体" w:cs="宋体"/>
                <w:color w:val="auto"/>
                <w:sz w:val="21"/>
                <w:szCs w:val="21"/>
                <w:highlight w:val="none"/>
              </w:rPr>
              <w:t>上料循环时间(s)≤10</w:t>
            </w:r>
          </w:p>
          <w:p w14:paraId="53700B9F">
            <w:pPr>
              <w:pStyle w:val="20"/>
              <w:numPr>
                <w:ilvl w:val="0"/>
                <w:numId w:val="0"/>
              </w:numPr>
              <w:spacing w:line="360" w:lineRule="auto"/>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14.</w:t>
            </w:r>
            <w:r>
              <w:rPr>
                <w:rFonts w:hint="eastAsia" w:ascii="宋体" w:hAnsi="宋体" w:eastAsia="宋体" w:cs="宋体"/>
                <w:color w:val="auto"/>
                <w:sz w:val="21"/>
                <w:szCs w:val="21"/>
                <w:highlight w:val="none"/>
              </w:rPr>
              <w:t>垃圾箱有效容积(m</w:t>
            </w:r>
            <w:r>
              <w:rPr>
                <w:rFonts w:hint="eastAsia" w:ascii="宋体" w:hAnsi="宋体" w:eastAsia="宋体" w:cs="宋体"/>
                <w:color w:val="auto"/>
                <w:sz w:val="24"/>
                <w:szCs w:val="24"/>
                <w:highlight w:val="none"/>
                <w:vertAlign w:val="superscript"/>
              </w:rPr>
              <w:t>3</w:t>
            </w:r>
            <w:r>
              <w:rPr>
                <w:rFonts w:hint="eastAsia" w:ascii="宋体" w:hAnsi="宋体" w:eastAsia="宋体" w:cs="宋体"/>
                <w:color w:val="auto"/>
                <w:sz w:val="24"/>
                <w:szCs w:val="24"/>
                <w:highlight w:val="none"/>
              </w:rPr>
              <w:t>)</w:t>
            </w:r>
            <w:r>
              <w:rPr>
                <w:rFonts w:hint="eastAsia" w:ascii="宋体" w:hAnsi="宋体" w:eastAsia="宋体" w:cs="宋体"/>
                <w:color w:val="auto"/>
                <w:sz w:val="21"/>
                <w:szCs w:val="21"/>
                <w:highlight w:val="none"/>
              </w:rPr>
              <w:t>≥13</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，需提供第三方检验报告证明</w:t>
            </w:r>
          </w:p>
          <w:p w14:paraId="573DBE57">
            <w:pPr>
              <w:pStyle w:val="20"/>
              <w:numPr>
                <w:ilvl w:val="0"/>
                <w:numId w:val="0"/>
              </w:numPr>
              <w:spacing w:line="360" w:lineRule="auto"/>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15.</w:t>
            </w:r>
            <w:r>
              <w:rPr>
                <w:rFonts w:hint="eastAsia" w:ascii="宋体" w:hAnsi="宋体" w:eastAsia="宋体" w:cs="宋体"/>
                <w:color w:val="auto"/>
                <w:sz w:val="21"/>
                <w:szCs w:val="21"/>
                <w:highlight w:val="none"/>
              </w:rPr>
              <w:t>污水箱容积(L)≥500</w:t>
            </w:r>
          </w:p>
          <w:p w14:paraId="1367AE93">
            <w:pPr>
              <w:pStyle w:val="20"/>
              <w:numPr>
                <w:ilvl w:val="0"/>
                <w:numId w:val="0"/>
              </w:numPr>
              <w:spacing w:line="360" w:lineRule="auto"/>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16.</w:t>
            </w:r>
            <w:r>
              <w:rPr>
                <w:rFonts w:hint="eastAsia" w:ascii="宋体" w:hAnsi="宋体" w:eastAsia="宋体" w:cs="宋体"/>
                <w:color w:val="auto"/>
                <w:sz w:val="21"/>
                <w:szCs w:val="21"/>
                <w:highlight w:val="none"/>
              </w:rPr>
              <w:t>最小离地间隙(mm)≥240</w:t>
            </w:r>
          </w:p>
          <w:p w14:paraId="571B466E">
            <w:pPr>
              <w:pStyle w:val="24"/>
              <w:tabs>
                <w:tab w:val="left" w:pos="1080"/>
                <w:tab w:val="left" w:pos="1260"/>
                <w:tab w:val="left" w:pos="1620"/>
                <w:tab w:val="left" w:pos="1980"/>
              </w:tabs>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二、主要性能特点：</w:t>
            </w:r>
          </w:p>
          <w:p w14:paraId="31017F56">
            <w:pPr>
              <w:pStyle w:val="20"/>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需采用双向压缩技术，压缩能力强。</w:t>
            </w:r>
          </w:p>
          <w:p w14:paraId="705D1B7B">
            <w:pPr>
              <w:pStyle w:val="20"/>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液压系统需采用双联油泵，压填循环和上料循环联动互不影响。</w:t>
            </w:r>
          </w:p>
          <w:p w14:paraId="63D84E2B">
            <w:pPr>
              <w:pStyle w:val="20"/>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车辆需配有推铲结构，布置在垃圾箱内部，在液压油缸驱动下沿垃圾箱轨道滑动，完成卸料作业。</w:t>
            </w:r>
          </w:p>
          <w:p w14:paraId="1DF30077">
            <w:pPr>
              <w:pStyle w:val="20"/>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lang w:bidi="ar"/>
              </w:rPr>
              <w:t>垃圾箱</w:t>
            </w:r>
            <w:r>
              <w:rPr>
                <w:rFonts w:hint="eastAsia" w:ascii="宋体" w:hAnsi="宋体" w:eastAsia="宋体" w:cs="宋体"/>
                <w:color w:val="auto"/>
                <w:sz w:val="21"/>
                <w:szCs w:val="21"/>
                <w:highlight w:val="none"/>
              </w:rPr>
              <w:t>内腔关键部位需采用高品质耐腐蚀性强的耐候钢，极限强度高，耐腐蚀能力强，使用寿命长，尤其适用于腐蚀性作业环境</w:t>
            </w:r>
            <w:r>
              <w:rPr>
                <w:rFonts w:hint="eastAsia" w:ascii="宋体" w:hAnsi="宋体" w:eastAsia="宋体" w:cs="宋体"/>
                <w:color w:val="auto"/>
                <w:sz w:val="21"/>
                <w:szCs w:val="21"/>
                <w:highlight w:val="none"/>
                <w:lang w:bidi="ar"/>
              </w:rPr>
              <w:t>。</w:t>
            </w:r>
          </w:p>
          <w:p w14:paraId="5A422156">
            <w:pPr>
              <w:pStyle w:val="20"/>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填装器底部和垃圾箱底部需设计有污水箱，提高产品的污水储存能力。</w:t>
            </w:r>
          </w:p>
          <w:p w14:paraId="7746C442">
            <w:pPr>
              <w:pStyle w:val="20"/>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rPr>
              <w:t>需设有填装器盖</w:t>
            </w: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lang w:eastAsia="zh-CN"/>
              </w:rPr>
              <w:t>需提供实物彩页或官方网页证明或照片证明等证明材料</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，用于遮挡填装斗，防止垃圾散落及臭气外泄的部件。</w:t>
            </w:r>
          </w:p>
          <w:p w14:paraId="58C84A4C">
            <w:pPr>
              <w:pStyle w:val="20"/>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sz w:val="21"/>
                <w:szCs w:val="21"/>
                <w:highlight w:val="none"/>
              </w:rPr>
              <w:t>需配有硫化橡胶的挡桶杆</w:t>
            </w: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lang w:eastAsia="zh-CN"/>
              </w:rPr>
              <w:t>需提供实物彩页或官方网页证明或照片证明等证明材料</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，在上料机构翻桶到位的时候，可缓冲垃圾桶和挡桶杆的碰撞，降低冲击噪声，同时防止塑料垃圾桶在倾翻到位惯性作用下发生脆断或掉入填装斗内的情况。</w:t>
            </w:r>
          </w:p>
          <w:p w14:paraId="03C038BD">
            <w:pPr>
              <w:pStyle w:val="20"/>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8.</w:t>
            </w:r>
            <w:r>
              <w:rPr>
                <w:rFonts w:hint="eastAsia" w:ascii="宋体" w:hAnsi="宋体" w:eastAsia="宋体" w:cs="宋体"/>
                <w:color w:val="auto"/>
                <w:sz w:val="21"/>
                <w:szCs w:val="21"/>
                <w:highlight w:val="none"/>
              </w:rPr>
              <w:t>需采用独立油缸控制的可调式锁紧机构</w:t>
            </w: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lang w:eastAsia="zh-CN"/>
              </w:rPr>
              <w:t>需提供实物彩页或官方网页证明或照片证明等证明材料</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，对填装器进行锁紧；</w:t>
            </w:r>
          </w:p>
          <w:p w14:paraId="7760F2B3">
            <w:pPr>
              <w:pStyle w:val="20"/>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9.</w:t>
            </w:r>
            <w:r>
              <w:rPr>
                <w:rFonts w:hint="eastAsia" w:ascii="宋体" w:hAnsi="宋体" w:eastAsia="宋体" w:cs="宋体"/>
                <w:color w:val="auto"/>
                <w:sz w:val="21"/>
                <w:szCs w:val="21"/>
                <w:highlight w:val="none"/>
              </w:rPr>
              <w:t>需采用马蹄形结构的硅胶密封条，形成三道密封面，且密封条布满填装器四周，确保了填装器与垃圾箱的结合面</w:t>
            </w:r>
            <w:r>
              <w:rPr>
                <w:rFonts w:hint="eastAsia" w:ascii="宋体" w:hAnsi="宋体" w:eastAsia="宋体" w:cs="宋体"/>
                <w:bCs/>
                <w:color w:val="auto"/>
                <w:sz w:val="21"/>
                <w:szCs w:val="21"/>
                <w:highlight w:val="none"/>
              </w:rPr>
              <w:t>四周全密封</w:t>
            </w:r>
            <w:r>
              <w:rPr>
                <w:rFonts w:hint="eastAsia" w:ascii="宋体" w:hAnsi="宋体" w:eastAsia="宋体" w:cs="宋体"/>
                <w:color w:val="auto"/>
                <w:sz w:val="21"/>
                <w:szCs w:val="21"/>
                <w:highlight w:val="none"/>
              </w:rPr>
              <w:t>，有效杜绝二次污染。</w:t>
            </w:r>
          </w:p>
          <w:p w14:paraId="6AC9BB8F">
            <w:pPr>
              <w:pStyle w:val="20"/>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10.</w:t>
            </w:r>
            <w:r>
              <w:rPr>
                <w:rFonts w:hint="eastAsia" w:ascii="宋体" w:hAnsi="宋体" w:eastAsia="宋体" w:cs="宋体"/>
                <w:color w:val="auto"/>
                <w:sz w:val="21"/>
                <w:szCs w:val="21"/>
                <w:highlight w:val="none"/>
              </w:rPr>
              <w:t>上料机构、压缩机构的运动铰点处需装有自润滑轴承，降低轴孔处的磨损，提高产品使用寿命。</w:t>
            </w:r>
          </w:p>
          <w:p w14:paraId="14671405">
            <w:pPr>
              <w:pStyle w:val="20"/>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11.</w:t>
            </w:r>
            <w:r>
              <w:rPr>
                <w:rFonts w:hint="eastAsia" w:ascii="宋体" w:hAnsi="宋体" w:eastAsia="宋体" w:cs="宋体"/>
                <w:color w:val="auto"/>
                <w:sz w:val="21"/>
                <w:szCs w:val="21"/>
                <w:highlight w:val="none"/>
              </w:rPr>
              <w:t>填装器滑板轨道需采用专制型材，强度更高，使用寿命长；</w:t>
            </w:r>
          </w:p>
          <w:p w14:paraId="32C8A796">
            <w:pPr>
              <w:pStyle w:val="20"/>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12.</w:t>
            </w:r>
            <w:r>
              <w:rPr>
                <w:rFonts w:hint="eastAsia" w:ascii="宋体" w:hAnsi="宋体" w:eastAsia="宋体" w:cs="宋体"/>
                <w:color w:val="auto"/>
                <w:sz w:val="21"/>
                <w:szCs w:val="21"/>
                <w:highlight w:val="none"/>
              </w:rPr>
              <w:t>填装器需采用整体式滑块结构，滑块材料选用高耐磨MC尼龙，具有自润滑功能和自排除垃圾能力，可靠耐用。</w:t>
            </w:r>
          </w:p>
          <w:p w14:paraId="55558B09">
            <w:pPr>
              <w:pStyle w:val="20"/>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13.</w:t>
            </w:r>
            <w:r>
              <w:rPr>
                <w:rFonts w:hint="eastAsia" w:ascii="宋体" w:hAnsi="宋体" w:eastAsia="宋体" w:cs="宋体"/>
                <w:color w:val="auto"/>
                <w:sz w:val="21"/>
                <w:szCs w:val="21"/>
                <w:highlight w:val="none"/>
                <w:lang w:bidi="ar"/>
              </w:rPr>
              <w:t>在驾驶室内和填装器尾部需分别安装有作业操控盒，驾驶室内的控制面板可控制推铲卸料和选择操作模式，填装器尾部的作业操控盒则控制压缩机构和上料机构的作业，操作方便；在垃圾填埋场，作业人员无须下车即可完成卸料。</w:t>
            </w:r>
          </w:p>
          <w:p w14:paraId="7AEC239C">
            <w:pPr>
              <w:pStyle w:val="20"/>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14.</w:t>
            </w:r>
            <w:r>
              <w:rPr>
                <w:rFonts w:hint="eastAsia" w:ascii="宋体" w:hAnsi="宋体" w:eastAsia="宋体" w:cs="宋体"/>
                <w:color w:val="auto"/>
                <w:sz w:val="21"/>
                <w:szCs w:val="21"/>
                <w:highlight w:val="none"/>
              </w:rPr>
              <w:t>需采用先进的“CAN总线+专用控制器模式”，并设置有保险继电器盒，有效保护电路；</w:t>
            </w:r>
          </w:p>
          <w:p w14:paraId="4CE7812C">
            <w:pPr>
              <w:pStyle w:val="20"/>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15.</w:t>
            </w:r>
            <w:r>
              <w:rPr>
                <w:rFonts w:hint="eastAsia" w:ascii="宋体" w:hAnsi="宋体" w:eastAsia="宋体" w:cs="宋体"/>
                <w:color w:val="auto"/>
                <w:sz w:val="21"/>
                <w:szCs w:val="21"/>
                <w:highlight w:val="none"/>
              </w:rPr>
              <w:t>需配备声音报警系统，能在卸料和维护作业时发出声音警示，提示操作人员谨慎操作。</w:t>
            </w:r>
          </w:p>
          <w:p w14:paraId="3D23FADD">
            <w:pPr>
              <w:pStyle w:val="20"/>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16.</w:t>
            </w:r>
            <w:r>
              <w:rPr>
                <w:rFonts w:hint="eastAsia" w:ascii="宋体" w:hAnsi="宋体" w:eastAsia="宋体" w:cs="宋体"/>
                <w:color w:val="auto"/>
                <w:sz w:val="21"/>
                <w:szCs w:val="21"/>
                <w:highlight w:val="none"/>
                <w:lang w:bidi="ar"/>
              </w:rPr>
              <w:t>填装器上需设有安全撑杆</w:t>
            </w: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lang w:eastAsia="zh-CN"/>
              </w:rPr>
              <w:t>需提供实物彩页或官方网页证明或照片证明等证明材料</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lang w:bidi="ar"/>
              </w:rPr>
              <w:t>，避免下降伤人；</w:t>
            </w:r>
          </w:p>
          <w:p w14:paraId="07255617">
            <w:pPr>
              <w:pStyle w:val="20"/>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17.</w:t>
            </w:r>
            <w:r>
              <w:rPr>
                <w:rFonts w:hint="eastAsia" w:ascii="宋体" w:hAnsi="宋体" w:eastAsia="宋体" w:cs="宋体"/>
                <w:color w:val="auto"/>
                <w:sz w:val="21"/>
                <w:szCs w:val="21"/>
                <w:highlight w:val="none"/>
              </w:rPr>
              <w:t>填装器举升油缸需设计有安全阀</w:t>
            </w: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lang w:eastAsia="zh-CN"/>
              </w:rPr>
              <w:t>需提供实物彩页或官方网页证明或照片证明等证明材料</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，即使油管爆裂，压填机构也不会突然下降造成恶性事故；</w:t>
            </w:r>
          </w:p>
        </w:tc>
        <w:tc>
          <w:tcPr>
            <w:tcW w:w="1797" w:type="dxa"/>
            <w:tcBorders>
              <w:top w:val="single" w:color="000000" w:sz="4" w:space="0"/>
              <w:left w:val="nil"/>
              <w:bottom w:val="single" w:color="000000" w:sz="4" w:space="0"/>
              <w:right w:val="single" w:color="000000" w:sz="4" w:space="0"/>
            </w:tcBorders>
            <w:shd w:val="clear" w:color="auto" w:fill="auto"/>
            <w:vAlign w:val="center"/>
          </w:tcPr>
          <w:p w14:paraId="13405D2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新能源车辆，包含牌照，一年保险（全险及商业三责险),车辆管理系统（车载北斗系统）</w:t>
            </w:r>
          </w:p>
        </w:tc>
      </w:tr>
      <w:tr w14:paraId="31017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ADA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四标段</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D01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清扫保洁类车辆</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BDC4C">
            <w:pPr>
              <w:jc w:val="center"/>
              <w:rPr>
                <w:rFonts w:hint="eastAsia" w:ascii="宋体" w:hAnsi="宋体" w:eastAsia="宋体" w:cs="宋体"/>
                <w:i w:val="0"/>
                <w:iCs w:val="0"/>
                <w:color w:val="auto"/>
                <w:sz w:val="21"/>
                <w:szCs w:val="21"/>
                <w:highlight w:val="none"/>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9C293">
            <w:pPr>
              <w:jc w:val="center"/>
              <w:rPr>
                <w:rFonts w:hint="eastAsia" w:ascii="宋体" w:hAnsi="宋体" w:eastAsia="宋体" w:cs="宋体"/>
                <w:i w:val="0"/>
                <w:iCs w:val="0"/>
                <w:color w:val="auto"/>
                <w:sz w:val="21"/>
                <w:szCs w:val="21"/>
                <w:highlight w:val="none"/>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CB180">
            <w:pPr>
              <w:jc w:val="center"/>
              <w:rPr>
                <w:rFonts w:hint="eastAsia" w:ascii="宋体" w:hAnsi="宋体" w:eastAsia="宋体" w:cs="宋体"/>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F31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2002</w:t>
            </w:r>
          </w:p>
        </w:tc>
        <w:tc>
          <w:tcPr>
            <w:tcW w:w="7500" w:type="dxa"/>
            <w:tcBorders>
              <w:top w:val="single" w:color="000000" w:sz="4" w:space="0"/>
              <w:left w:val="nil"/>
              <w:bottom w:val="single" w:color="000000" w:sz="4" w:space="0"/>
              <w:right w:val="single" w:color="000000" w:sz="4" w:space="0"/>
            </w:tcBorders>
            <w:shd w:val="clear" w:color="auto" w:fill="auto"/>
            <w:vAlign w:val="center"/>
          </w:tcPr>
          <w:p w14:paraId="5D3E38B0">
            <w:pPr>
              <w:rPr>
                <w:rFonts w:hint="eastAsia" w:ascii="宋体" w:hAnsi="宋体" w:eastAsia="宋体" w:cs="宋体"/>
                <w:i w:val="0"/>
                <w:iCs w:val="0"/>
                <w:color w:val="auto"/>
                <w:sz w:val="21"/>
                <w:szCs w:val="21"/>
                <w:highlight w:val="none"/>
                <w:u w:val="none"/>
              </w:rPr>
            </w:pPr>
          </w:p>
        </w:tc>
        <w:tc>
          <w:tcPr>
            <w:tcW w:w="1797" w:type="dxa"/>
            <w:tcBorders>
              <w:top w:val="single" w:color="000000" w:sz="4" w:space="0"/>
              <w:left w:val="nil"/>
              <w:bottom w:val="single" w:color="000000" w:sz="4" w:space="0"/>
              <w:right w:val="single" w:color="000000" w:sz="4" w:space="0"/>
            </w:tcBorders>
            <w:shd w:val="clear" w:color="auto" w:fill="auto"/>
            <w:vAlign w:val="center"/>
          </w:tcPr>
          <w:p w14:paraId="34563969">
            <w:pPr>
              <w:rPr>
                <w:rFonts w:hint="eastAsia" w:ascii="宋体" w:hAnsi="宋体" w:eastAsia="宋体" w:cs="宋体"/>
                <w:i w:val="0"/>
                <w:iCs w:val="0"/>
                <w:color w:val="auto"/>
                <w:sz w:val="21"/>
                <w:szCs w:val="21"/>
                <w:highlight w:val="none"/>
                <w:u w:val="none"/>
                <w:lang w:eastAsia="zh-CN"/>
              </w:rPr>
            </w:pPr>
            <w:r>
              <w:rPr>
                <w:rFonts w:hint="eastAsia" w:ascii="宋体" w:hAnsi="宋体" w:cs="宋体"/>
                <w:i w:val="0"/>
                <w:iCs w:val="0"/>
                <w:color w:val="auto"/>
                <w:sz w:val="21"/>
                <w:szCs w:val="21"/>
                <w:highlight w:val="none"/>
                <w:u w:val="none"/>
                <w:lang w:eastAsia="zh-CN"/>
              </w:rPr>
              <w:t>所有车辆附带充电桩、电缆线，含安装调试</w:t>
            </w:r>
          </w:p>
        </w:tc>
      </w:tr>
      <w:tr w14:paraId="1B369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9"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316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B9B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12吨洗扫车</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05D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辆</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411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DE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6A2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196</w:t>
            </w:r>
          </w:p>
        </w:tc>
        <w:tc>
          <w:tcPr>
            <w:tcW w:w="7500" w:type="dxa"/>
            <w:tcBorders>
              <w:top w:val="single" w:color="000000" w:sz="4" w:space="0"/>
              <w:left w:val="nil"/>
              <w:bottom w:val="single" w:color="000000" w:sz="4" w:space="0"/>
              <w:right w:val="single" w:color="000000" w:sz="4" w:space="0"/>
            </w:tcBorders>
            <w:shd w:val="clear" w:color="auto" w:fill="auto"/>
            <w:vAlign w:val="center"/>
          </w:tcPr>
          <w:tbl>
            <w:tblPr>
              <w:tblStyle w:val="16"/>
              <w:tblW w:w="5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7"/>
              <w:gridCol w:w="3120"/>
            </w:tblGrid>
            <w:tr w14:paraId="464E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2597" w:type="dxa"/>
                  <w:tcBorders>
                    <w:top w:val="single" w:color="auto" w:sz="4" w:space="0"/>
                    <w:left w:val="single" w:color="auto" w:sz="4" w:space="0"/>
                    <w:bottom w:val="single" w:color="auto" w:sz="4" w:space="0"/>
                    <w:right w:val="single" w:color="auto" w:sz="4" w:space="0"/>
                  </w:tcBorders>
                  <w:vAlign w:val="center"/>
                </w:tcPr>
                <w:p w14:paraId="334362D0">
                  <w:pPr>
                    <w:spacing w:line="50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序号、</w:t>
                  </w:r>
                  <w:r>
                    <w:rPr>
                      <w:rFonts w:hint="eastAsia" w:ascii="宋体" w:hAnsi="宋体" w:eastAsia="宋体" w:cs="宋体"/>
                      <w:color w:val="auto"/>
                      <w:sz w:val="21"/>
                      <w:szCs w:val="21"/>
                      <w:highlight w:val="none"/>
                    </w:rPr>
                    <w:t>项目</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14:paraId="41E0050E">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参数</w:t>
                  </w:r>
                </w:p>
              </w:tc>
            </w:tr>
            <w:tr w14:paraId="362CE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2597" w:type="dxa"/>
                  <w:tcBorders>
                    <w:top w:val="single" w:color="auto" w:sz="4" w:space="0"/>
                    <w:left w:val="single" w:color="auto" w:sz="4" w:space="0"/>
                    <w:bottom w:val="single" w:color="auto" w:sz="4" w:space="0"/>
                    <w:right w:val="single" w:color="auto" w:sz="4" w:space="0"/>
                  </w:tcBorders>
                  <w:vAlign w:val="center"/>
                </w:tcPr>
                <w:p w14:paraId="0FFC0299">
                  <w:pPr>
                    <w:numPr>
                      <w:ilvl w:val="0"/>
                      <w:numId w:val="2"/>
                    </w:numPr>
                    <w:spacing w:line="50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底盘类别</w:t>
                  </w:r>
                </w:p>
              </w:tc>
              <w:tc>
                <w:tcPr>
                  <w:tcW w:w="3120" w:type="dxa"/>
                  <w:tcBorders>
                    <w:top w:val="single" w:color="auto" w:sz="4" w:space="0"/>
                    <w:left w:val="single" w:color="auto" w:sz="4" w:space="0"/>
                    <w:bottom w:val="single" w:color="auto" w:sz="4" w:space="0"/>
                    <w:right w:val="single" w:color="auto" w:sz="4" w:space="0"/>
                  </w:tcBorders>
                  <w:vAlign w:val="center"/>
                </w:tcPr>
                <w:p w14:paraId="2B71FEB6">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二类载货汽车底盘</w:t>
                  </w:r>
                </w:p>
              </w:tc>
            </w:tr>
            <w:tr w14:paraId="4B64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2597" w:type="dxa"/>
                  <w:tcBorders>
                    <w:top w:val="single" w:color="auto" w:sz="4" w:space="0"/>
                    <w:left w:val="single" w:color="auto" w:sz="4" w:space="0"/>
                    <w:bottom w:val="single" w:color="auto" w:sz="4" w:space="0"/>
                    <w:right w:val="single" w:color="auto" w:sz="4" w:space="0"/>
                  </w:tcBorders>
                  <w:vAlign w:val="center"/>
                </w:tcPr>
                <w:p w14:paraId="7C6D34BB">
                  <w:pPr>
                    <w:numPr>
                      <w:ilvl w:val="0"/>
                      <w:numId w:val="2"/>
                    </w:numPr>
                    <w:spacing w:line="50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底盘驱动电机峰值功率（kw）</w:t>
                  </w:r>
                </w:p>
              </w:tc>
              <w:tc>
                <w:tcPr>
                  <w:tcW w:w="3120" w:type="dxa"/>
                  <w:tcBorders>
                    <w:top w:val="single" w:color="auto" w:sz="4" w:space="0"/>
                    <w:left w:val="single" w:color="auto" w:sz="4" w:space="0"/>
                    <w:bottom w:val="single" w:color="auto" w:sz="4" w:space="0"/>
                    <w:right w:val="single" w:color="auto" w:sz="4" w:space="0"/>
                  </w:tcBorders>
                  <w:vAlign w:val="center"/>
                </w:tcPr>
                <w:p w14:paraId="7976ACC8">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≥160</w:t>
                  </w:r>
                </w:p>
              </w:tc>
            </w:tr>
            <w:tr w14:paraId="3D00F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597" w:type="dxa"/>
                  <w:tcBorders>
                    <w:top w:val="single" w:color="auto" w:sz="4" w:space="0"/>
                    <w:left w:val="single" w:color="auto" w:sz="4" w:space="0"/>
                    <w:bottom w:val="single" w:color="auto" w:sz="4" w:space="0"/>
                    <w:right w:val="single" w:color="auto" w:sz="4" w:space="0"/>
                  </w:tcBorders>
                  <w:vAlign w:val="center"/>
                </w:tcPr>
                <w:p w14:paraId="1ACE677C">
                  <w:pPr>
                    <w:numPr>
                      <w:ilvl w:val="0"/>
                      <w:numId w:val="2"/>
                    </w:numPr>
                    <w:spacing w:line="51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电池能量密度（wh/kg）</w:t>
                  </w:r>
                </w:p>
              </w:tc>
              <w:tc>
                <w:tcPr>
                  <w:tcW w:w="3120" w:type="dxa"/>
                  <w:tcBorders>
                    <w:top w:val="single" w:color="auto" w:sz="4" w:space="0"/>
                    <w:left w:val="single" w:color="auto" w:sz="4" w:space="0"/>
                    <w:bottom w:val="single" w:color="auto" w:sz="4" w:space="0"/>
                    <w:right w:val="single" w:color="auto" w:sz="4" w:space="0"/>
                  </w:tcBorders>
                  <w:vAlign w:val="center"/>
                </w:tcPr>
                <w:p w14:paraId="1EB65C4B">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w:t>
                  </w:r>
                </w:p>
              </w:tc>
            </w:tr>
            <w:tr w14:paraId="06C12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597" w:type="dxa"/>
                  <w:tcBorders>
                    <w:top w:val="single" w:color="auto" w:sz="4" w:space="0"/>
                    <w:left w:val="single" w:color="auto" w:sz="4" w:space="0"/>
                    <w:bottom w:val="single" w:color="auto" w:sz="4" w:space="0"/>
                    <w:right w:val="single" w:color="auto" w:sz="4" w:space="0"/>
                  </w:tcBorders>
                  <w:vAlign w:val="center"/>
                </w:tcPr>
                <w:p w14:paraId="2B1D9A85">
                  <w:pPr>
                    <w:numPr>
                      <w:ilvl w:val="0"/>
                      <w:numId w:val="2"/>
                    </w:numPr>
                    <w:spacing w:line="51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储能装置总储电量（kWh）</w:t>
                  </w:r>
                </w:p>
              </w:tc>
              <w:tc>
                <w:tcPr>
                  <w:tcW w:w="3120" w:type="dxa"/>
                  <w:tcBorders>
                    <w:top w:val="single" w:color="auto" w:sz="4" w:space="0"/>
                    <w:left w:val="single" w:color="auto" w:sz="4" w:space="0"/>
                    <w:bottom w:val="single" w:color="auto" w:sz="4" w:space="0"/>
                    <w:right w:val="single" w:color="auto" w:sz="4" w:space="0"/>
                  </w:tcBorders>
                  <w:vAlign w:val="center"/>
                </w:tcPr>
                <w:p w14:paraId="519B1DA2">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w:t>
                  </w:r>
                </w:p>
              </w:tc>
            </w:tr>
            <w:tr w14:paraId="10E34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597" w:type="dxa"/>
                  <w:tcBorders>
                    <w:top w:val="single" w:color="auto" w:sz="4" w:space="0"/>
                    <w:left w:val="single" w:color="auto" w:sz="4" w:space="0"/>
                    <w:bottom w:val="single" w:color="auto" w:sz="4" w:space="0"/>
                    <w:right w:val="single" w:color="auto" w:sz="4" w:space="0"/>
                  </w:tcBorders>
                  <w:vAlign w:val="center"/>
                </w:tcPr>
                <w:p w14:paraId="705E614D">
                  <w:pPr>
                    <w:numPr>
                      <w:ilvl w:val="0"/>
                      <w:numId w:val="2"/>
                    </w:numPr>
                    <w:spacing w:line="51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续航里程（km）</w:t>
                  </w:r>
                </w:p>
              </w:tc>
              <w:tc>
                <w:tcPr>
                  <w:tcW w:w="3120" w:type="dxa"/>
                  <w:tcBorders>
                    <w:top w:val="single" w:color="auto" w:sz="4" w:space="0"/>
                    <w:left w:val="single" w:color="auto" w:sz="4" w:space="0"/>
                    <w:bottom w:val="single" w:color="auto" w:sz="4" w:space="0"/>
                    <w:right w:val="single" w:color="auto" w:sz="4" w:space="0"/>
                  </w:tcBorders>
                  <w:vAlign w:val="center"/>
                </w:tcPr>
                <w:p w14:paraId="01CA2A1B">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≥360</w:t>
                  </w:r>
                </w:p>
              </w:tc>
            </w:tr>
            <w:tr w14:paraId="3A134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2597" w:type="dxa"/>
                  <w:tcBorders>
                    <w:top w:val="single" w:color="auto" w:sz="4" w:space="0"/>
                    <w:left w:val="single" w:color="auto" w:sz="4" w:space="0"/>
                    <w:bottom w:val="single" w:color="auto" w:sz="4" w:space="0"/>
                    <w:right w:val="single" w:color="auto" w:sz="4" w:space="0"/>
                  </w:tcBorders>
                  <w:vAlign w:val="center"/>
                </w:tcPr>
                <w:p w14:paraId="3E084F47">
                  <w:pPr>
                    <w:numPr>
                      <w:ilvl w:val="0"/>
                      <w:numId w:val="2"/>
                    </w:numPr>
                    <w:spacing w:line="50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电源电池种类</w:t>
                  </w:r>
                </w:p>
              </w:tc>
              <w:tc>
                <w:tcPr>
                  <w:tcW w:w="3120" w:type="dxa"/>
                  <w:tcBorders>
                    <w:top w:val="single" w:color="auto" w:sz="4" w:space="0"/>
                    <w:left w:val="single" w:color="auto" w:sz="4" w:space="0"/>
                    <w:bottom w:val="single" w:color="auto" w:sz="4" w:space="0"/>
                    <w:right w:val="single" w:color="auto" w:sz="4" w:space="0"/>
                  </w:tcBorders>
                  <w:vAlign w:val="center"/>
                </w:tcPr>
                <w:p w14:paraId="18433D91">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磷酸铁锂电池</w:t>
                  </w:r>
                </w:p>
              </w:tc>
            </w:tr>
            <w:tr w14:paraId="551DE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2597" w:type="dxa"/>
                  <w:tcBorders>
                    <w:top w:val="single" w:color="auto" w:sz="4" w:space="0"/>
                    <w:left w:val="single" w:color="auto" w:sz="4" w:space="0"/>
                    <w:bottom w:val="single" w:color="auto" w:sz="4" w:space="0"/>
                    <w:right w:val="single" w:color="auto" w:sz="4" w:space="0"/>
                  </w:tcBorders>
                  <w:vAlign w:val="center"/>
                </w:tcPr>
                <w:p w14:paraId="17CCC29D">
                  <w:pPr>
                    <w:numPr>
                      <w:ilvl w:val="0"/>
                      <w:numId w:val="2"/>
                    </w:numPr>
                    <w:spacing w:line="50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最大总质量(kg)</w:t>
                  </w:r>
                </w:p>
              </w:tc>
              <w:tc>
                <w:tcPr>
                  <w:tcW w:w="3120" w:type="dxa"/>
                  <w:tcBorders>
                    <w:top w:val="single" w:color="auto" w:sz="4" w:space="0"/>
                    <w:left w:val="single" w:color="auto" w:sz="4" w:space="0"/>
                    <w:bottom w:val="single" w:color="auto" w:sz="4" w:space="0"/>
                    <w:right w:val="single" w:color="auto" w:sz="4" w:space="0"/>
                  </w:tcBorders>
                  <w:vAlign w:val="center"/>
                </w:tcPr>
                <w:p w14:paraId="59F3457A">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12000（±500）</w:t>
                  </w:r>
                </w:p>
              </w:tc>
            </w:tr>
            <w:tr w14:paraId="17B6A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2597" w:type="dxa"/>
                  <w:tcBorders>
                    <w:top w:val="single" w:color="auto" w:sz="4" w:space="0"/>
                    <w:left w:val="single" w:color="auto" w:sz="4" w:space="0"/>
                    <w:bottom w:val="single" w:color="auto" w:sz="4" w:space="0"/>
                    <w:right w:val="single" w:color="auto" w:sz="4" w:space="0"/>
                  </w:tcBorders>
                  <w:vAlign w:val="center"/>
                </w:tcPr>
                <w:p w14:paraId="743611E8">
                  <w:pPr>
                    <w:numPr>
                      <w:ilvl w:val="0"/>
                      <w:numId w:val="2"/>
                    </w:numPr>
                    <w:spacing w:line="50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整备质量(kg)</w:t>
                  </w:r>
                </w:p>
              </w:tc>
              <w:tc>
                <w:tcPr>
                  <w:tcW w:w="3120" w:type="dxa"/>
                  <w:tcBorders>
                    <w:top w:val="single" w:color="auto" w:sz="4" w:space="0"/>
                    <w:left w:val="single" w:color="auto" w:sz="4" w:space="0"/>
                    <w:bottom w:val="single" w:color="auto" w:sz="4" w:space="0"/>
                    <w:right w:val="single" w:color="auto" w:sz="4" w:space="0"/>
                  </w:tcBorders>
                  <w:vAlign w:val="center"/>
                </w:tcPr>
                <w:p w14:paraId="2F116E58">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≥8600</w:t>
                  </w:r>
                </w:p>
              </w:tc>
            </w:tr>
            <w:tr w14:paraId="3F21E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2597" w:type="dxa"/>
                  <w:tcBorders>
                    <w:top w:val="single" w:color="auto" w:sz="4" w:space="0"/>
                    <w:left w:val="single" w:color="auto" w:sz="4" w:space="0"/>
                    <w:bottom w:val="single" w:color="auto" w:sz="4" w:space="0"/>
                    <w:right w:val="single" w:color="auto" w:sz="4" w:space="0"/>
                  </w:tcBorders>
                  <w:vAlign w:val="center"/>
                </w:tcPr>
                <w:p w14:paraId="01656B56">
                  <w:pPr>
                    <w:numPr>
                      <w:ilvl w:val="0"/>
                      <w:numId w:val="2"/>
                    </w:numPr>
                    <w:spacing w:line="50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额定质量(kg)</w:t>
                  </w:r>
                </w:p>
              </w:tc>
              <w:tc>
                <w:tcPr>
                  <w:tcW w:w="3120" w:type="dxa"/>
                  <w:tcBorders>
                    <w:top w:val="single" w:color="auto" w:sz="4" w:space="0"/>
                    <w:left w:val="single" w:color="auto" w:sz="4" w:space="0"/>
                    <w:bottom w:val="single" w:color="auto" w:sz="4" w:space="0"/>
                    <w:right w:val="single" w:color="auto" w:sz="4" w:space="0"/>
                  </w:tcBorders>
                  <w:vAlign w:val="center"/>
                </w:tcPr>
                <w:p w14:paraId="223D9A90">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≥2900</w:t>
                  </w:r>
                </w:p>
              </w:tc>
            </w:tr>
            <w:tr w14:paraId="52475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2597" w:type="dxa"/>
                  <w:tcBorders>
                    <w:top w:val="single" w:color="auto" w:sz="4" w:space="0"/>
                    <w:left w:val="single" w:color="auto" w:sz="4" w:space="0"/>
                    <w:bottom w:val="single" w:color="auto" w:sz="4" w:space="0"/>
                    <w:right w:val="single" w:color="auto" w:sz="4" w:space="0"/>
                  </w:tcBorders>
                  <w:vAlign w:val="center"/>
                </w:tcPr>
                <w:p w14:paraId="5BE41542">
                  <w:pPr>
                    <w:numPr>
                      <w:ilvl w:val="0"/>
                      <w:numId w:val="2"/>
                    </w:numPr>
                    <w:spacing w:line="50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外形尺寸（mm）</w:t>
                  </w:r>
                </w:p>
              </w:tc>
              <w:tc>
                <w:tcPr>
                  <w:tcW w:w="3120" w:type="dxa"/>
                  <w:tcBorders>
                    <w:top w:val="single" w:color="auto" w:sz="4" w:space="0"/>
                    <w:left w:val="single" w:color="auto" w:sz="4" w:space="0"/>
                    <w:bottom w:val="single" w:color="auto" w:sz="4" w:space="0"/>
                    <w:right w:val="single" w:color="auto" w:sz="4" w:space="0"/>
                  </w:tcBorders>
                  <w:vAlign w:val="center"/>
                </w:tcPr>
                <w:p w14:paraId="4F7F22ED">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≥7000×2350×2700</w:t>
                  </w:r>
                </w:p>
              </w:tc>
            </w:tr>
            <w:tr w14:paraId="3FEA0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2597" w:type="dxa"/>
                  <w:tcBorders>
                    <w:top w:val="single" w:color="auto" w:sz="4" w:space="0"/>
                    <w:left w:val="single" w:color="auto" w:sz="4" w:space="0"/>
                    <w:bottom w:val="single" w:color="auto" w:sz="4" w:space="0"/>
                    <w:right w:val="single" w:color="auto" w:sz="4" w:space="0"/>
                  </w:tcBorders>
                  <w:vAlign w:val="center"/>
                </w:tcPr>
                <w:p w14:paraId="66846EC6">
                  <w:pPr>
                    <w:numPr>
                      <w:ilvl w:val="0"/>
                      <w:numId w:val="2"/>
                    </w:numPr>
                    <w:spacing w:line="50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前悬/后悬（mm）</w:t>
                  </w:r>
                </w:p>
              </w:tc>
              <w:tc>
                <w:tcPr>
                  <w:tcW w:w="3120" w:type="dxa"/>
                  <w:tcBorders>
                    <w:top w:val="single" w:color="auto" w:sz="4" w:space="0"/>
                    <w:left w:val="single" w:color="auto" w:sz="4" w:space="0"/>
                    <w:bottom w:val="single" w:color="auto" w:sz="4" w:space="0"/>
                    <w:right w:val="single" w:color="auto" w:sz="4" w:space="0"/>
                  </w:tcBorders>
                  <w:vAlign w:val="center"/>
                </w:tcPr>
                <w:p w14:paraId="4F9EABC7">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≤1250/2100</w:t>
                  </w:r>
                </w:p>
              </w:tc>
            </w:tr>
            <w:tr w14:paraId="2E94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2597" w:type="dxa"/>
                  <w:tcBorders>
                    <w:top w:val="single" w:color="auto" w:sz="4" w:space="0"/>
                    <w:left w:val="single" w:color="auto" w:sz="4" w:space="0"/>
                    <w:bottom w:val="single" w:color="auto" w:sz="4" w:space="0"/>
                    <w:right w:val="single" w:color="auto" w:sz="4" w:space="0"/>
                  </w:tcBorders>
                  <w:vAlign w:val="center"/>
                </w:tcPr>
                <w:p w14:paraId="187C69A9">
                  <w:pPr>
                    <w:numPr>
                      <w:ilvl w:val="0"/>
                      <w:numId w:val="2"/>
                    </w:numPr>
                    <w:spacing w:line="50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接近角/离去角（°）</w:t>
                  </w:r>
                </w:p>
              </w:tc>
              <w:tc>
                <w:tcPr>
                  <w:tcW w:w="3120" w:type="dxa"/>
                  <w:tcBorders>
                    <w:top w:val="single" w:color="auto" w:sz="4" w:space="0"/>
                    <w:left w:val="single" w:color="auto" w:sz="4" w:space="0"/>
                    <w:bottom w:val="single" w:color="auto" w:sz="4" w:space="0"/>
                    <w:right w:val="single" w:color="auto" w:sz="4" w:space="0"/>
                  </w:tcBorders>
                  <w:vAlign w:val="center"/>
                </w:tcPr>
                <w:p w14:paraId="57E4BC16">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≥18/10</w:t>
                  </w:r>
                </w:p>
              </w:tc>
            </w:tr>
            <w:tr w14:paraId="77764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2597" w:type="dxa"/>
                  <w:tcBorders>
                    <w:top w:val="single" w:color="auto" w:sz="4" w:space="0"/>
                    <w:left w:val="single" w:color="auto" w:sz="4" w:space="0"/>
                    <w:bottom w:val="single" w:color="auto" w:sz="4" w:space="0"/>
                    <w:right w:val="single" w:color="auto" w:sz="4" w:space="0"/>
                  </w:tcBorders>
                  <w:vAlign w:val="center"/>
                </w:tcPr>
                <w:p w14:paraId="507DEEDA">
                  <w:pPr>
                    <w:numPr>
                      <w:ilvl w:val="0"/>
                      <w:numId w:val="2"/>
                    </w:numPr>
                    <w:spacing w:line="50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最高车速（km/h）</w:t>
                  </w:r>
                </w:p>
              </w:tc>
              <w:tc>
                <w:tcPr>
                  <w:tcW w:w="3120" w:type="dxa"/>
                  <w:tcBorders>
                    <w:top w:val="single" w:color="auto" w:sz="4" w:space="0"/>
                    <w:left w:val="single" w:color="auto" w:sz="4" w:space="0"/>
                    <w:bottom w:val="single" w:color="auto" w:sz="4" w:space="0"/>
                    <w:right w:val="single" w:color="auto" w:sz="4" w:space="0"/>
                  </w:tcBorders>
                  <w:vAlign w:val="center"/>
                </w:tcPr>
                <w:p w14:paraId="1A054A5D">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≥70</w:t>
                  </w:r>
                </w:p>
              </w:tc>
            </w:tr>
            <w:tr w14:paraId="3447B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2597" w:type="dxa"/>
                  <w:tcBorders>
                    <w:top w:val="single" w:color="auto" w:sz="4" w:space="0"/>
                    <w:left w:val="single" w:color="auto" w:sz="4" w:space="0"/>
                    <w:bottom w:val="single" w:color="auto" w:sz="4" w:space="0"/>
                    <w:right w:val="single" w:color="auto" w:sz="4" w:space="0"/>
                  </w:tcBorders>
                  <w:vAlign w:val="center"/>
                </w:tcPr>
                <w:p w14:paraId="13C5A594">
                  <w:pPr>
                    <w:numPr>
                      <w:ilvl w:val="0"/>
                      <w:numId w:val="2"/>
                    </w:numPr>
                    <w:spacing w:line="50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轴距(mm)</w:t>
                  </w:r>
                </w:p>
              </w:tc>
              <w:tc>
                <w:tcPr>
                  <w:tcW w:w="3120" w:type="dxa"/>
                  <w:tcBorders>
                    <w:top w:val="single" w:color="auto" w:sz="4" w:space="0"/>
                    <w:left w:val="single" w:color="auto" w:sz="4" w:space="0"/>
                    <w:bottom w:val="single" w:color="auto" w:sz="4" w:space="0"/>
                    <w:right w:val="single" w:color="auto" w:sz="4" w:space="0"/>
                  </w:tcBorders>
                  <w:vAlign w:val="center"/>
                </w:tcPr>
                <w:p w14:paraId="5162D1B2">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≤4200</w:t>
                  </w:r>
                </w:p>
              </w:tc>
            </w:tr>
            <w:tr w14:paraId="15FA6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2597" w:type="dxa"/>
                  <w:tcBorders>
                    <w:top w:val="single" w:color="auto" w:sz="4" w:space="0"/>
                    <w:left w:val="single" w:color="auto" w:sz="4" w:space="0"/>
                    <w:bottom w:val="single" w:color="auto" w:sz="4" w:space="0"/>
                    <w:right w:val="single" w:color="auto" w:sz="4" w:space="0"/>
                  </w:tcBorders>
                  <w:vAlign w:val="center"/>
                </w:tcPr>
                <w:p w14:paraId="2A6C5FCC">
                  <w:pPr>
                    <w:numPr>
                      <w:ilvl w:val="0"/>
                      <w:numId w:val="2"/>
                    </w:numPr>
                    <w:spacing w:line="50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高压水泵额定工作压力（MPa）</w:t>
                  </w:r>
                </w:p>
              </w:tc>
              <w:tc>
                <w:tcPr>
                  <w:tcW w:w="3120" w:type="dxa"/>
                  <w:tcBorders>
                    <w:top w:val="single" w:color="auto" w:sz="4" w:space="0"/>
                    <w:left w:val="single" w:color="auto" w:sz="4" w:space="0"/>
                    <w:bottom w:val="single" w:color="auto" w:sz="4" w:space="0"/>
                    <w:right w:val="single" w:color="auto" w:sz="4" w:space="0"/>
                  </w:tcBorders>
                  <w:vAlign w:val="center"/>
                </w:tcPr>
                <w:p w14:paraId="19343D5E">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r>
            <w:tr w14:paraId="13A00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2597" w:type="dxa"/>
                  <w:tcBorders>
                    <w:top w:val="single" w:color="auto" w:sz="4" w:space="0"/>
                    <w:left w:val="single" w:color="auto" w:sz="4" w:space="0"/>
                    <w:bottom w:val="single" w:color="auto" w:sz="4" w:space="0"/>
                    <w:right w:val="single" w:color="auto" w:sz="4" w:space="0"/>
                  </w:tcBorders>
                  <w:vAlign w:val="center"/>
                </w:tcPr>
                <w:p w14:paraId="0CD6EF7C">
                  <w:pPr>
                    <w:numPr>
                      <w:ilvl w:val="0"/>
                      <w:numId w:val="2"/>
                    </w:numPr>
                    <w:spacing w:line="50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高压水泵额定流量（L/min）</w:t>
                  </w:r>
                </w:p>
              </w:tc>
              <w:tc>
                <w:tcPr>
                  <w:tcW w:w="3120" w:type="dxa"/>
                  <w:tcBorders>
                    <w:top w:val="single" w:color="auto" w:sz="4" w:space="0"/>
                    <w:left w:val="single" w:color="auto" w:sz="4" w:space="0"/>
                    <w:bottom w:val="single" w:color="auto" w:sz="4" w:space="0"/>
                    <w:right w:val="single" w:color="auto" w:sz="4" w:space="0"/>
                  </w:tcBorders>
                  <w:vAlign w:val="center"/>
                </w:tcPr>
                <w:p w14:paraId="478B8542">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≥80</w:t>
                  </w:r>
                </w:p>
              </w:tc>
            </w:tr>
            <w:tr w14:paraId="2A2F9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2597" w:type="dxa"/>
                  <w:tcBorders>
                    <w:top w:val="single" w:color="auto" w:sz="4" w:space="0"/>
                    <w:left w:val="single" w:color="auto" w:sz="4" w:space="0"/>
                    <w:bottom w:val="single" w:color="auto" w:sz="4" w:space="0"/>
                    <w:right w:val="single" w:color="auto" w:sz="4" w:space="0"/>
                  </w:tcBorders>
                  <w:vAlign w:val="center"/>
                </w:tcPr>
                <w:p w14:paraId="669E7BDB">
                  <w:pPr>
                    <w:numPr>
                      <w:ilvl w:val="0"/>
                      <w:numId w:val="2"/>
                    </w:numPr>
                    <w:spacing w:line="50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最大洗扫宽度（m）</w:t>
                  </w:r>
                </w:p>
              </w:tc>
              <w:tc>
                <w:tcPr>
                  <w:tcW w:w="3120" w:type="dxa"/>
                  <w:tcBorders>
                    <w:top w:val="single" w:color="auto" w:sz="4" w:space="0"/>
                    <w:left w:val="single" w:color="auto" w:sz="4" w:space="0"/>
                    <w:bottom w:val="single" w:color="auto" w:sz="4" w:space="0"/>
                    <w:right w:val="single" w:color="auto" w:sz="4" w:space="0"/>
                  </w:tcBorders>
                  <w:vAlign w:val="center"/>
                </w:tcPr>
                <w:p w14:paraId="13D3A636">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r>
            <w:tr w14:paraId="38774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2597" w:type="dxa"/>
                  <w:tcBorders>
                    <w:top w:val="single" w:color="auto" w:sz="4" w:space="0"/>
                    <w:left w:val="single" w:color="auto" w:sz="4" w:space="0"/>
                    <w:bottom w:val="single" w:color="auto" w:sz="4" w:space="0"/>
                    <w:right w:val="single" w:color="auto" w:sz="4" w:space="0"/>
                  </w:tcBorders>
                  <w:vAlign w:val="center"/>
                </w:tcPr>
                <w:p w14:paraId="19B5A67F">
                  <w:pPr>
                    <w:numPr>
                      <w:ilvl w:val="0"/>
                      <w:numId w:val="2"/>
                    </w:numPr>
                    <w:spacing w:line="50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清扫宽度（m）</w:t>
                  </w:r>
                </w:p>
              </w:tc>
              <w:tc>
                <w:tcPr>
                  <w:tcW w:w="3120" w:type="dxa"/>
                  <w:tcBorders>
                    <w:top w:val="single" w:color="auto" w:sz="4" w:space="0"/>
                    <w:left w:val="single" w:color="auto" w:sz="4" w:space="0"/>
                    <w:bottom w:val="single" w:color="auto" w:sz="4" w:space="0"/>
                    <w:right w:val="single" w:color="auto" w:sz="4" w:space="0"/>
                  </w:tcBorders>
                  <w:vAlign w:val="center"/>
                </w:tcPr>
                <w:p w14:paraId="03254505">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r>
            <w:tr w14:paraId="0C719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2597" w:type="dxa"/>
                  <w:tcBorders>
                    <w:top w:val="single" w:color="auto" w:sz="4" w:space="0"/>
                    <w:left w:val="single" w:color="auto" w:sz="4" w:space="0"/>
                    <w:bottom w:val="single" w:color="auto" w:sz="4" w:space="0"/>
                    <w:right w:val="single" w:color="auto" w:sz="4" w:space="0"/>
                  </w:tcBorders>
                  <w:vAlign w:val="center"/>
                </w:tcPr>
                <w:p w14:paraId="578612E0">
                  <w:pPr>
                    <w:numPr>
                      <w:ilvl w:val="0"/>
                      <w:numId w:val="2"/>
                    </w:numPr>
                    <w:spacing w:line="50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清扫速度（km/h）</w:t>
                  </w:r>
                </w:p>
              </w:tc>
              <w:tc>
                <w:tcPr>
                  <w:tcW w:w="3120" w:type="dxa"/>
                  <w:tcBorders>
                    <w:top w:val="single" w:color="auto" w:sz="4" w:space="0"/>
                    <w:left w:val="single" w:color="auto" w:sz="4" w:space="0"/>
                    <w:bottom w:val="single" w:color="auto" w:sz="4" w:space="0"/>
                    <w:right w:val="single" w:color="auto" w:sz="4" w:space="0"/>
                  </w:tcBorders>
                  <w:vAlign w:val="center"/>
                </w:tcPr>
                <w:p w14:paraId="60A5DEA1">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3～20</w:t>
                  </w:r>
                </w:p>
              </w:tc>
            </w:tr>
            <w:tr w14:paraId="7A8FE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2597" w:type="dxa"/>
                  <w:tcBorders>
                    <w:top w:val="single" w:color="auto" w:sz="4" w:space="0"/>
                    <w:left w:val="single" w:color="auto" w:sz="4" w:space="0"/>
                    <w:bottom w:val="single" w:color="auto" w:sz="4" w:space="0"/>
                    <w:right w:val="single" w:color="auto" w:sz="4" w:space="0"/>
                  </w:tcBorders>
                  <w:vAlign w:val="center"/>
                </w:tcPr>
                <w:p w14:paraId="2A863097">
                  <w:pPr>
                    <w:numPr>
                      <w:ilvl w:val="0"/>
                      <w:numId w:val="2"/>
                    </w:numPr>
                    <w:spacing w:line="50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洗扫速度（km/h）</w:t>
                  </w:r>
                </w:p>
              </w:tc>
              <w:tc>
                <w:tcPr>
                  <w:tcW w:w="3120" w:type="dxa"/>
                  <w:tcBorders>
                    <w:top w:val="single" w:color="auto" w:sz="4" w:space="0"/>
                    <w:left w:val="single" w:color="auto" w:sz="4" w:space="0"/>
                    <w:bottom w:val="single" w:color="auto" w:sz="4" w:space="0"/>
                    <w:right w:val="single" w:color="auto" w:sz="4" w:space="0"/>
                  </w:tcBorders>
                  <w:vAlign w:val="center"/>
                </w:tcPr>
                <w:p w14:paraId="08C47B5A">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3～8</w:t>
                  </w:r>
                </w:p>
              </w:tc>
            </w:tr>
            <w:tr w14:paraId="1D44B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2597" w:type="dxa"/>
                  <w:tcBorders>
                    <w:top w:val="single" w:color="auto" w:sz="4" w:space="0"/>
                    <w:left w:val="single" w:color="auto" w:sz="4" w:space="0"/>
                    <w:bottom w:val="single" w:color="auto" w:sz="4" w:space="0"/>
                    <w:right w:val="single" w:color="auto" w:sz="4" w:space="0"/>
                  </w:tcBorders>
                  <w:vAlign w:val="center"/>
                </w:tcPr>
                <w:p w14:paraId="3727960E">
                  <w:pPr>
                    <w:numPr>
                      <w:ilvl w:val="0"/>
                      <w:numId w:val="2"/>
                    </w:numPr>
                    <w:spacing w:line="50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不锈钢清水箱容积（m³）</w:t>
                  </w:r>
                </w:p>
              </w:tc>
              <w:tc>
                <w:tcPr>
                  <w:tcW w:w="3120" w:type="dxa"/>
                  <w:tcBorders>
                    <w:top w:val="single" w:color="auto" w:sz="4" w:space="0"/>
                    <w:left w:val="single" w:color="auto" w:sz="4" w:space="0"/>
                    <w:bottom w:val="single" w:color="auto" w:sz="4" w:space="0"/>
                    <w:right w:val="single" w:color="auto" w:sz="4" w:space="0"/>
                  </w:tcBorders>
                  <w:vAlign w:val="center"/>
                </w:tcPr>
                <w:p w14:paraId="3079CD68">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w:t>
                  </w:r>
                </w:p>
              </w:tc>
            </w:tr>
            <w:tr w14:paraId="3597D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2597" w:type="dxa"/>
                  <w:tcBorders>
                    <w:top w:val="single" w:color="auto" w:sz="4" w:space="0"/>
                    <w:left w:val="single" w:color="auto" w:sz="4" w:space="0"/>
                    <w:bottom w:val="single" w:color="auto" w:sz="4" w:space="0"/>
                    <w:right w:val="single" w:color="auto" w:sz="4" w:space="0"/>
                  </w:tcBorders>
                  <w:vAlign w:val="center"/>
                </w:tcPr>
                <w:p w14:paraId="595B635A">
                  <w:pPr>
                    <w:numPr>
                      <w:ilvl w:val="0"/>
                      <w:numId w:val="2"/>
                    </w:numPr>
                    <w:spacing w:line="50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不锈钢垃圾箱容积（m³）</w:t>
                  </w:r>
                </w:p>
              </w:tc>
              <w:tc>
                <w:tcPr>
                  <w:tcW w:w="3120" w:type="dxa"/>
                  <w:tcBorders>
                    <w:top w:val="single" w:color="auto" w:sz="4" w:space="0"/>
                    <w:left w:val="single" w:color="auto" w:sz="4" w:space="0"/>
                    <w:bottom w:val="single" w:color="auto" w:sz="4" w:space="0"/>
                    <w:right w:val="single" w:color="auto" w:sz="4" w:space="0"/>
                  </w:tcBorders>
                  <w:vAlign w:val="center"/>
                </w:tcPr>
                <w:p w14:paraId="63BB8AC8">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r>
            <w:tr w14:paraId="61746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2597" w:type="dxa"/>
                  <w:tcBorders>
                    <w:top w:val="single" w:color="auto" w:sz="4" w:space="0"/>
                    <w:left w:val="single" w:color="auto" w:sz="4" w:space="0"/>
                    <w:bottom w:val="single" w:color="auto" w:sz="4" w:space="0"/>
                    <w:right w:val="single" w:color="auto" w:sz="4" w:space="0"/>
                  </w:tcBorders>
                  <w:vAlign w:val="center"/>
                </w:tcPr>
                <w:p w14:paraId="3C5E8B87">
                  <w:pPr>
                    <w:numPr>
                      <w:ilvl w:val="0"/>
                      <w:numId w:val="2"/>
                    </w:numPr>
                    <w:spacing w:line="50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吸嘴宽度（mm）</w:t>
                  </w:r>
                </w:p>
              </w:tc>
              <w:tc>
                <w:tcPr>
                  <w:tcW w:w="3120" w:type="dxa"/>
                  <w:tcBorders>
                    <w:top w:val="single" w:color="auto" w:sz="4" w:space="0"/>
                    <w:left w:val="single" w:color="auto" w:sz="4" w:space="0"/>
                    <w:bottom w:val="single" w:color="auto" w:sz="4" w:space="0"/>
                    <w:right w:val="single" w:color="auto" w:sz="4" w:space="0"/>
                  </w:tcBorders>
                  <w:vAlign w:val="center"/>
                </w:tcPr>
                <w:p w14:paraId="3CD92B75">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≥1850</w:t>
                  </w:r>
                </w:p>
              </w:tc>
            </w:tr>
            <w:tr w14:paraId="15109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2597" w:type="dxa"/>
                  <w:tcBorders>
                    <w:top w:val="single" w:color="auto" w:sz="4" w:space="0"/>
                    <w:left w:val="single" w:color="auto" w:sz="4" w:space="0"/>
                    <w:bottom w:val="single" w:color="auto" w:sz="4" w:space="0"/>
                    <w:right w:val="single" w:color="auto" w:sz="4" w:space="0"/>
                  </w:tcBorders>
                  <w:vAlign w:val="center"/>
                </w:tcPr>
                <w:p w14:paraId="06D1C7BB">
                  <w:pPr>
                    <w:numPr>
                      <w:ilvl w:val="0"/>
                      <w:numId w:val="2"/>
                    </w:numPr>
                    <w:spacing w:line="50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扫盘直径（mm）</w:t>
                  </w:r>
                </w:p>
              </w:tc>
              <w:tc>
                <w:tcPr>
                  <w:tcW w:w="3120" w:type="dxa"/>
                  <w:tcBorders>
                    <w:top w:val="single" w:color="auto" w:sz="4" w:space="0"/>
                    <w:left w:val="single" w:color="auto" w:sz="4" w:space="0"/>
                    <w:bottom w:val="single" w:color="auto" w:sz="4" w:space="0"/>
                    <w:right w:val="single" w:color="auto" w:sz="4" w:space="0"/>
                  </w:tcBorders>
                  <w:vAlign w:val="center"/>
                </w:tcPr>
                <w:p w14:paraId="61C808F7">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≥580</w:t>
                  </w:r>
                </w:p>
              </w:tc>
            </w:tr>
            <w:tr w14:paraId="2B9D0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2597" w:type="dxa"/>
                  <w:tcBorders>
                    <w:top w:val="single" w:color="auto" w:sz="4" w:space="0"/>
                    <w:left w:val="single" w:color="auto" w:sz="4" w:space="0"/>
                    <w:bottom w:val="single" w:color="auto" w:sz="4" w:space="0"/>
                    <w:right w:val="single" w:color="auto" w:sz="4" w:space="0"/>
                  </w:tcBorders>
                  <w:vAlign w:val="center"/>
                </w:tcPr>
                <w:p w14:paraId="7641455E">
                  <w:pPr>
                    <w:numPr>
                      <w:ilvl w:val="0"/>
                      <w:numId w:val="2"/>
                    </w:numPr>
                    <w:spacing w:line="50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吸污宽度（mm）</w:t>
                  </w:r>
                </w:p>
              </w:tc>
              <w:tc>
                <w:tcPr>
                  <w:tcW w:w="3120" w:type="dxa"/>
                  <w:tcBorders>
                    <w:top w:val="single" w:color="auto" w:sz="4" w:space="0"/>
                    <w:left w:val="single" w:color="auto" w:sz="4" w:space="0"/>
                    <w:bottom w:val="single" w:color="auto" w:sz="4" w:space="0"/>
                    <w:right w:val="single" w:color="auto" w:sz="4" w:space="0"/>
                  </w:tcBorders>
                  <w:vAlign w:val="center"/>
                </w:tcPr>
                <w:p w14:paraId="76FF27F2">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≥1730</w:t>
                  </w:r>
                </w:p>
              </w:tc>
            </w:tr>
            <w:tr w14:paraId="420B1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597" w:type="dxa"/>
                  <w:tcBorders>
                    <w:top w:val="single" w:color="auto" w:sz="4" w:space="0"/>
                    <w:left w:val="single" w:color="auto" w:sz="4" w:space="0"/>
                    <w:bottom w:val="single" w:color="auto" w:sz="4" w:space="0"/>
                    <w:right w:val="single" w:color="auto" w:sz="4" w:space="0"/>
                  </w:tcBorders>
                  <w:vAlign w:val="center"/>
                </w:tcPr>
                <w:p w14:paraId="4EA85D79">
                  <w:pPr>
                    <w:numPr>
                      <w:ilvl w:val="0"/>
                      <w:numId w:val="2"/>
                    </w:numPr>
                    <w:spacing w:line="50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驾驶室调温措施</w:t>
                  </w:r>
                </w:p>
              </w:tc>
              <w:tc>
                <w:tcPr>
                  <w:tcW w:w="3120" w:type="dxa"/>
                  <w:tcBorders>
                    <w:top w:val="single" w:color="auto" w:sz="4" w:space="0"/>
                    <w:left w:val="single" w:color="auto" w:sz="4" w:space="0"/>
                    <w:bottom w:val="single" w:color="auto" w:sz="4" w:space="0"/>
                    <w:right w:val="single" w:color="auto" w:sz="4" w:space="0"/>
                  </w:tcBorders>
                  <w:vAlign w:val="center"/>
                </w:tcPr>
                <w:p w14:paraId="5C5CF8AA">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冷暖空调</w:t>
                  </w:r>
                </w:p>
              </w:tc>
            </w:tr>
          </w:tbl>
          <w:p w14:paraId="4168267C">
            <w:pPr>
              <w:spacing w:line="5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二、主要功能要求</w:t>
            </w:r>
          </w:p>
          <w:p w14:paraId="42E91011">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1、上装电动机启动后，通过皮带传动带动风机旋转工作和液压油泵工作，并经离合器、皮带轮、皮带带动高压水泵工作。</w:t>
            </w:r>
          </w:p>
          <w:p w14:paraId="41896586">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2、上装的动力来源是底盘电瓶输出的电能。上装动力系统通过CAN总线通讯。</w:t>
            </w:r>
          </w:p>
          <w:p w14:paraId="2383125F">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3、垃圾箱内设多个大流量高压喷嘴，可快速冲洗垃圾箱，集部分清水箱与垃圾箱于一体。</w:t>
            </w:r>
          </w:p>
          <w:p w14:paraId="5A92DC96">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4、中置两盘扫，中置宽吸嘴采用液压浮动装置，吸嘴配置扫树叶功能，采用电控气缸控制喂料口开度，极易清扫轻飘物，吸嘴内置高压喷杆，可快速拆装。</w:t>
            </w:r>
          </w:p>
          <w:p w14:paraId="78B2F860">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采用液压缓冲式扫刷地距自动调节装置，使扫刷与地面的接触力保持在一个固定值，扫刷与地面接触面保持不变，扫刷磨损后可以自动补偿，配备辅助链条弹簧机械调节装置，扫盘转速可根据不同清扫工况选择高、中、低三档。</w:t>
            </w:r>
          </w:p>
          <w:p w14:paraId="7DE90744">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6、左右喷水架为组合式V型喷水架，具有自动避障保护及复位功能，可前后双向避障。作业时喷杆离地高度固定不变，不随整车载荷变化。</w:t>
            </w:r>
          </w:p>
          <w:p w14:paraId="41896221">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7、车辆采用“显示屏+控制器+外置操作面板”控制模式。作业起动和作业停止，驱动电机转速调节、吸嘴升降、扫盘收放、左右喷杆收放等作业装置全由一键控制。</w:t>
            </w:r>
          </w:p>
          <w:p w14:paraId="1834EA70">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上装驱动电机转速调节是通过驾驶内的电机调速旋钮调节，上装电机起动后到作业开始前，以怠速运转，作业起动后，上装电机转速自动升高，不使用“保洁”及“强力”档模式时，全扫、全洗扫、全清洗等任意一种作业起动后，可根据需要调节油门旋钮。</w:t>
            </w:r>
          </w:p>
          <w:p w14:paraId="255A3A02">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9、车辆后部及右侧装摄像头，驾驶室内装彩色显示屏。作业时，可在驾驶室内检查监视清洁效果；倒车时可以导航，防止追尾。</w:t>
            </w:r>
          </w:p>
          <w:p w14:paraId="50145BB1">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10、配备手持喷枪、自动卷盘，用于整车清洗、垃圾桶清洗、人行道冲洗等。</w:t>
            </w:r>
          </w:p>
          <w:p w14:paraId="6A217030">
            <w:pPr>
              <w:spacing w:line="500" w:lineRule="exac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11、水泵电磁离合器控制水泵启停。</w:t>
            </w:r>
          </w:p>
        </w:tc>
        <w:tc>
          <w:tcPr>
            <w:tcW w:w="1797" w:type="dxa"/>
            <w:tcBorders>
              <w:top w:val="single" w:color="000000" w:sz="4" w:space="0"/>
              <w:left w:val="nil"/>
              <w:bottom w:val="single" w:color="000000" w:sz="4" w:space="0"/>
              <w:right w:val="single" w:color="000000" w:sz="4" w:space="0"/>
            </w:tcBorders>
            <w:shd w:val="clear" w:color="auto" w:fill="auto"/>
            <w:vAlign w:val="center"/>
          </w:tcPr>
          <w:p w14:paraId="21E0F0C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新能源车辆，包含牌照，一年保险（全险及商业三责险),车辆管理系统（车载北斗系统）</w:t>
            </w:r>
          </w:p>
        </w:tc>
      </w:tr>
      <w:tr w14:paraId="2F0BB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9"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9B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1AB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18吨洗扫车</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C33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辆</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67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1BE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91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810</w:t>
            </w:r>
          </w:p>
        </w:tc>
        <w:tc>
          <w:tcPr>
            <w:tcW w:w="7500" w:type="dxa"/>
            <w:tcBorders>
              <w:top w:val="single" w:color="000000" w:sz="4" w:space="0"/>
              <w:left w:val="nil"/>
              <w:bottom w:val="single" w:color="000000" w:sz="4" w:space="0"/>
              <w:right w:val="single" w:color="000000" w:sz="4" w:space="0"/>
            </w:tcBorders>
            <w:shd w:val="clear" w:color="auto" w:fill="auto"/>
            <w:vAlign w:val="center"/>
          </w:tcPr>
          <w:tbl>
            <w:tblPr>
              <w:tblStyle w:val="16"/>
              <w:tblW w:w="739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3717"/>
              <w:gridCol w:w="3682"/>
            </w:tblGrid>
            <w:tr w14:paraId="096BBC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504" w:hRule="atLeast"/>
                <w:jc w:val="center"/>
              </w:trPr>
              <w:tc>
                <w:tcPr>
                  <w:tcW w:w="3717" w:type="dxa"/>
                  <w:tcBorders>
                    <w:top w:val="single" w:color="auto" w:sz="6" w:space="0"/>
                    <w:left w:val="single" w:color="auto" w:sz="6" w:space="0"/>
                    <w:bottom w:val="single" w:color="auto" w:sz="6" w:space="0"/>
                    <w:right w:val="single" w:color="auto" w:sz="6" w:space="0"/>
                  </w:tcBorders>
                  <w:vAlign w:val="center"/>
                </w:tcPr>
                <w:p w14:paraId="2D6A004D">
                  <w:pPr>
                    <w:spacing w:line="50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序号、</w:t>
                  </w:r>
                  <w:r>
                    <w:rPr>
                      <w:rFonts w:hint="eastAsia" w:ascii="宋体" w:hAnsi="宋体" w:eastAsia="宋体" w:cs="宋体"/>
                      <w:color w:val="auto"/>
                      <w:sz w:val="21"/>
                      <w:szCs w:val="21"/>
                      <w:highlight w:val="none"/>
                    </w:rPr>
                    <w:t>项目</w:t>
                  </w:r>
                </w:p>
              </w:tc>
              <w:tc>
                <w:tcPr>
                  <w:tcW w:w="3682" w:type="dxa"/>
                  <w:tcBorders>
                    <w:top w:val="single" w:color="auto" w:sz="6" w:space="0"/>
                    <w:left w:val="single" w:color="auto" w:sz="6" w:space="0"/>
                    <w:bottom w:val="single" w:color="auto" w:sz="6" w:space="0"/>
                    <w:right w:val="single" w:color="auto" w:sz="6" w:space="0"/>
                  </w:tcBorders>
                  <w:vAlign w:val="center"/>
                </w:tcPr>
                <w:p w14:paraId="713BA605">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参数</w:t>
                  </w:r>
                </w:p>
              </w:tc>
            </w:tr>
            <w:tr w14:paraId="7EEBA2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84" w:hRule="atLeast"/>
                <w:jc w:val="center"/>
              </w:trPr>
              <w:tc>
                <w:tcPr>
                  <w:tcW w:w="3717" w:type="dxa"/>
                  <w:tcBorders>
                    <w:top w:val="single" w:color="auto" w:sz="6" w:space="0"/>
                    <w:left w:val="single" w:color="auto" w:sz="6" w:space="0"/>
                    <w:bottom w:val="single" w:color="auto" w:sz="6" w:space="0"/>
                    <w:right w:val="single" w:color="auto" w:sz="6" w:space="0"/>
                  </w:tcBorders>
                  <w:vAlign w:val="center"/>
                </w:tcPr>
                <w:p w14:paraId="790CE566">
                  <w:pPr>
                    <w:numPr>
                      <w:ilvl w:val="0"/>
                      <w:numId w:val="3"/>
                    </w:numPr>
                    <w:spacing w:line="48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底盘类别</w:t>
                  </w:r>
                </w:p>
              </w:tc>
              <w:tc>
                <w:tcPr>
                  <w:tcW w:w="3682" w:type="dxa"/>
                  <w:tcBorders>
                    <w:top w:val="single" w:color="auto" w:sz="6" w:space="0"/>
                    <w:left w:val="single" w:color="auto" w:sz="6" w:space="0"/>
                    <w:bottom w:val="single" w:color="auto" w:sz="6" w:space="0"/>
                    <w:right w:val="single" w:color="auto" w:sz="6" w:space="0"/>
                  </w:tcBorders>
                  <w:vAlign w:val="center"/>
                </w:tcPr>
                <w:p w14:paraId="3FD1A931">
                  <w:pPr>
                    <w:spacing w:line="4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二类载货汽车底盘</w:t>
                  </w:r>
                </w:p>
              </w:tc>
            </w:tr>
            <w:tr w14:paraId="3A166D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504" w:hRule="atLeast"/>
                <w:jc w:val="center"/>
              </w:trPr>
              <w:tc>
                <w:tcPr>
                  <w:tcW w:w="3717" w:type="dxa"/>
                  <w:tcBorders>
                    <w:top w:val="single" w:color="auto" w:sz="6" w:space="0"/>
                    <w:left w:val="single" w:color="auto" w:sz="6" w:space="0"/>
                    <w:bottom w:val="single" w:color="auto" w:sz="6" w:space="0"/>
                    <w:right w:val="single" w:color="auto" w:sz="6" w:space="0"/>
                  </w:tcBorders>
                  <w:vAlign w:val="center"/>
                </w:tcPr>
                <w:p w14:paraId="4860E0DC">
                  <w:pPr>
                    <w:numPr>
                      <w:ilvl w:val="0"/>
                      <w:numId w:val="3"/>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底盘驱动电机峰值功率(kw)</w:t>
                  </w:r>
                </w:p>
              </w:tc>
              <w:tc>
                <w:tcPr>
                  <w:tcW w:w="3682" w:type="dxa"/>
                  <w:tcBorders>
                    <w:top w:val="single" w:color="auto" w:sz="6" w:space="0"/>
                    <w:left w:val="single" w:color="auto" w:sz="6" w:space="0"/>
                    <w:bottom w:val="single" w:color="auto" w:sz="6" w:space="0"/>
                    <w:right w:val="single" w:color="auto" w:sz="6" w:space="0"/>
                  </w:tcBorders>
                  <w:vAlign w:val="center"/>
                </w:tcPr>
                <w:p w14:paraId="7459638B">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≥160</w:t>
                  </w:r>
                </w:p>
              </w:tc>
            </w:tr>
            <w:tr w14:paraId="523B07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504" w:hRule="atLeast"/>
                <w:jc w:val="center"/>
              </w:trPr>
              <w:tc>
                <w:tcPr>
                  <w:tcW w:w="3717" w:type="dxa"/>
                  <w:tcBorders>
                    <w:top w:val="single" w:color="auto" w:sz="6" w:space="0"/>
                    <w:left w:val="single" w:color="auto" w:sz="6" w:space="0"/>
                    <w:bottom w:val="single" w:color="auto" w:sz="6" w:space="0"/>
                    <w:right w:val="single" w:color="auto" w:sz="6" w:space="0"/>
                  </w:tcBorders>
                  <w:vAlign w:val="center"/>
                </w:tcPr>
                <w:p w14:paraId="6158FD3D">
                  <w:pPr>
                    <w:numPr>
                      <w:ilvl w:val="0"/>
                      <w:numId w:val="3"/>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底盘电池容量（kWh）</w:t>
                  </w:r>
                </w:p>
              </w:tc>
              <w:tc>
                <w:tcPr>
                  <w:tcW w:w="3682" w:type="dxa"/>
                  <w:tcBorders>
                    <w:top w:val="single" w:color="auto" w:sz="6" w:space="0"/>
                    <w:left w:val="single" w:color="auto" w:sz="6" w:space="0"/>
                    <w:bottom w:val="single" w:color="auto" w:sz="6" w:space="0"/>
                    <w:right w:val="single" w:color="auto" w:sz="6" w:space="0"/>
                  </w:tcBorders>
                  <w:vAlign w:val="center"/>
                </w:tcPr>
                <w:p w14:paraId="7D14CA20">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≥280</w:t>
                  </w:r>
                </w:p>
              </w:tc>
            </w:tr>
            <w:tr w14:paraId="69CB96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504" w:hRule="atLeast"/>
                <w:jc w:val="center"/>
              </w:trPr>
              <w:tc>
                <w:tcPr>
                  <w:tcW w:w="3717" w:type="dxa"/>
                  <w:tcBorders>
                    <w:top w:val="single" w:color="auto" w:sz="6" w:space="0"/>
                    <w:left w:val="single" w:color="auto" w:sz="6" w:space="0"/>
                    <w:bottom w:val="single" w:color="auto" w:sz="6" w:space="0"/>
                    <w:right w:val="single" w:color="auto" w:sz="6" w:space="0"/>
                  </w:tcBorders>
                  <w:vAlign w:val="center"/>
                </w:tcPr>
                <w:p w14:paraId="0AA04132">
                  <w:pPr>
                    <w:numPr>
                      <w:ilvl w:val="0"/>
                      <w:numId w:val="3"/>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底盘电池能量密度（Wh/kg）</w:t>
                  </w:r>
                </w:p>
              </w:tc>
              <w:tc>
                <w:tcPr>
                  <w:tcW w:w="3682" w:type="dxa"/>
                  <w:tcBorders>
                    <w:top w:val="single" w:color="auto" w:sz="6" w:space="0"/>
                    <w:left w:val="single" w:color="auto" w:sz="6" w:space="0"/>
                    <w:bottom w:val="single" w:color="auto" w:sz="6" w:space="0"/>
                    <w:right w:val="single" w:color="auto" w:sz="6" w:space="0"/>
                  </w:tcBorders>
                  <w:vAlign w:val="center"/>
                </w:tcPr>
                <w:p w14:paraId="0BF19CFD">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w:t>
                  </w:r>
                </w:p>
              </w:tc>
            </w:tr>
            <w:tr w14:paraId="345DEA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504" w:hRule="atLeast"/>
                <w:jc w:val="center"/>
              </w:trPr>
              <w:tc>
                <w:tcPr>
                  <w:tcW w:w="3717" w:type="dxa"/>
                  <w:tcBorders>
                    <w:top w:val="single" w:color="auto" w:sz="6" w:space="0"/>
                    <w:left w:val="single" w:color="auto" w:sz="6" w:space="0"/>
                    <w:bottom w:val="single" w:color="auto" w:sz="6" w:space="0"/>
                    <w:right w:val="single" w:color="auto" w:sz="6" w:space="0"/>
                  </w:tcBorders>
                  <w:vAlign w:val="center"/>
                </w:tcPr>
                <w:p w14:paraId="298D86A4">
                  <w:pPr>
                    <w:numPr>
                      <w:ilvl w:val="0"/>
                      <w:numId w:val="3"/>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续航里程（km）</w:t>
                  </w:r>
                </w:p>
              </w:tc>
              <w:tc>
                <w:tcPr>
                  <w:tcW w:w="3682" w:type="dxa"/>
                  <w:tcBorders>
                    <w:top w:val="single" w:color="auto" w:sz="6" w:space="0"/>
                    <w:left w:val="single" w:color="auto" w:sz="6" w:space="0"/>
                    <w:bottom w:val="single" w:color="auto" w:sz="6" w:space="0"/>
                    <w:right w:val="single" w:color="auto" w:sz="6" w:space="0"/>
                  </w:tcBorders>
                  <w:vAlign w:val="center"/>
                </w:tcPr>
                <w:p w14:paraId="61B14ED7">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≥340</w:t>
                  </w:r>
                </w:p>
              </w:tc>
            </w:tr>
            <w:tr w14:paraId="5D1572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504" w:hRule="atLeast"/>
                <w:jc w:val="center"/>
              </w:trPr>
              <w:tc>
                <w:tcPr>
                  <w:tcW w:w="3717" w:type="dxa"/>
                  <w:tcBorders>
                    <w:top w:val="single" w:color="auto" w:sz="6" w:space="0"/>
                    <w:left w:val="single" w:color="auto" w:sz="6" w:space="0"/>
                    <w:bottom w:val="single" w:color="auto" w:sz="6" w:space="0"/>
                    <w:right w:val="single" w:color="auto" w:sz="6" w:space="0"/>
                  </w:tcBorders>
                  <w:vAlign w:val="center"/>
                </w:tcPr>
                <w:p w14:paraId="4C6F70AA">
                  <w:pPr>
                    <w:numPr>
                      <w:ilvl w:val="0"/>
                      <w:numId w:val="3"/>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底盘电池种类</w:t>
                  </w:r>
                </w:p>
              </w:tc>
              <w:tc>
                <w:tcPr>
                  <w:tcW w:w="3682" w:type="dxa"/>
                  <w:tcBorders>
                    <w:top w:val="single" w:color="auto" w:sz="6" w:space="0"/>
                    <w:left w:val="single" w:color="auto" w:sz="6" w:space="0"/>
                    <w:bottom w:val="single" w:color="auto" w:sz="6" w:space="0"/>
                    <w:right w:val="single" w:color="auto" w:sz="6" w:space="0"/>
                  </w:tcBorders>
                  <w:vAlign w:val="center"/>
                </w:tcPr>
                <w:p w14:paraId="555A9449">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磷酸铁锂电池</w:t>
                  </w:r>
                </w:p>
              </w:tc>
            </w:tr>
            <w:tr w14:paraId="2A528B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504" w:hRule="atLeast"/>
                <w:jc w:val="center"/>
              </w:trPr>
              <w:tc>
                <w:tcPr>
                  <w:tcW w:w="3717" w:type="dxa"/>
                  <w:tcBorders>
                    <w:top w:val="single" w:color="auto" w:sz="6" w:space="0"/>
                    <w:left w:val="single" w:color="auto" w:sz="6" w:space="0"/>
                    <w:bottom w:val="single" w:color="auto" w:sz="6" w:space="0"/>
                    <w:right w:val="single" w:color="auto" w:sz="6" w:space="0"/>
                  </w:tcBorders>
                  <w:vAlign w:val="center"/>
                </w:tcPr>
                <w:p w14:paraId="4510BFD6">
                  <w:pPr>
                    <w:numPr>
                      <w:ilvl w:val="0"/>
                      <w:numId w:val="3"/>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上装驱动电机额定功率(kw)</w:t>
                  </w:r>
                </w:p>
              </w:tc>
              <w:tc>
                <w:tcPr>
                  <w:tcW w:w="3682" w:type="dxa"/>
                  <w:tcBorders>
                    <w:top w:val="single" w:color="auto" w:sz="6" w:space="0"/>
                    <w:left w:val="single" w:color="auto" w:sz="6" w:space="0"/>
                    <w:bottom w:val="single" w:color="auto" w:sz="6" w:space="0"/>
                    <w:right w:val="single" w:color="auto" w:sz="6" w:space="0"/>
                  </w:tcBorders>
                  <w:vAlign w:val="center"/>
                </w:tcPr>
                <w:p w14:paraId="75FB3FCE">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w:t>
                  </w:r>
                </w:p>
              </w:tc>
            </w:tr>
            <w:tr w14:paraId="08180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504" w:hRule="atLeast"/>
                <w:jc w:val="center"/>
              </w:trPr>
              <w:tc>
                <w:tcPr>
                  <w:tcW w:w="3717" w:type="dxa"/>
                  <w:tcBorders>
                    <w:top w:val="single" w:color="auto" w:sz="6" w:space="0"/>
                    <w:left w:val="single" w:color="auto" w:sz="6" w:space="0"/>
                    <w:bottom w:val="single" w:color="auto" w:sz="6" w:space="0"/>
                    <w:right w:val="single" w:color="auto" w:sz="6" w:space="0"/>
                  </w:tcBorders>
                  <w:vAlign w:val="center"/>
                </w:tcPr>
                <w:p w14:paraId="681B9721">
                  <w:pPr>
                    <w:numPr>
                      <w:ilvl w:val="0"/>
                      <w:numId w:val="3"/>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满载最大总质量(kg)</w:t>
                  </w:r>
                </w:p>
              </w:tc>
              <w:tc>
                <w:tcPr>
                  <w:tcW w:w="3682" w:type="dxa"/>
                  <w:tcBorders>
                    <w:top w:val="single" w:color="auto" w:sz="6" w:space="0"/>
                    <w:left w:val="single" w:color="auto" w:sz="6" w:space="0"/>
                    <w:bottom w:val="single" w:color="auto" w:sz="6" w:space="0"/>
                    <w:right w:val="single" w:color="auto" w:sz="6" w:space="0"/>
                  </w:tcBorders>
                  <w:vAlign w:val="center"/>
                </w:tcPr>
                <w:p w14:paraId="7A307188">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18000（±500）</w:t>
                  </w:r>
                </w:p>
              </w:tc>
            </w:tr>
            <w:tr w14:paraId="5DE61A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504" w:hRule="atLeast"/>
                <w:jc w:val="center"/>
              </w:trPr>
              <w:tc>
                <w:tcPr>
                  <w:tcW w:w="3717" w:type="dxa"/>
                  <w:tcBorders>
                    <w:top w:val="single" w:color="auto" w:sz="6" w:space="0"/>
                    <w:left w:val="single" w:color="auto" w:sz="6" w:space="0"/>
                    <w:bottom w:val="single" w:color="auto" w:sz="6" w:space="0"/>
                    <w:right w:val="single" w:color="auto" w:sz="6" w:space="0"/>
                  </w:tcBorders>
                  <w:vAlign w:val="center"/>
                </w:tcPr>
                <w:p w14:paraId="018C6319">
                  <w:pPr>
                    <w:numPr>
                      <w:ilvl w:val="0"/>
                      <w:numId w:val="3"/>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整备质量(kg)</w:t>
                  </w:r>
                </w:p>
              </w:tc>
              <w:tc>
                <w:tcPr>
                  <w:tcW w:w="3682" w:type="dxa"/>
                  <w:tcBorders>
                    <w:top w:val="single" w:color="auto" w:sz="6" w:space="0"/>
                    <w:left w:val="single" w:color="auto" w:sz="6" w:space="0"/>
                    <w:bottom w:val="single" w:color="auto" w:sz="6" w:space="0"/>
                    <w:right w:val="single" w:color="auto" w:sz="6" w:space="0"/>
                  </w:tcBorders>
                  <w:vAlign w:val="center"/>
                </w:tcPr>
                <w:p w14:paraId="65334327">
                  <w:pPr>
                    <w:spacing w:line="500" w:lineRule="exact"/>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≥12</w:t>
                  </w:r>
                  <w:r>
                    <w:rPr>
                      <w:rFonts w:hint="eastAsia" w:ascii="宋体" w:hAnsi="宋体" w:cs="宋体"/>
                      <w:color w:val="auto"/>
                      <w:sz w:val="21"/>
                      <w:szCs w:val="21"/>
                      <w:highlight w:val="none"/>
                      <w:lang w:val="en-US" w:eastAsia="zh-CN"/>
                    </w:rPr>
                    <w:t>300</w:t>
                  </w:r>
                </w:p>
              </w:tc>
            </w:tr>
            <w:tr w14:paraId="75D572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504" w:hRule="atLeast"/>
                <w:jc w:val="center"/>
              </w:trPr>
              <w:tc>
                <w:tcPr>
                  <w:tcW w:w="3717" w:type="dxa"/>
                  <w:tcBorders>
                    <w:top w:val="single" w:color="auto" w:sz="6" w:space="0"/>
                    <w:left w:val="single" w:color="auto" w:sz="6" w:space="0"/>
                    <w:bottom w:val="single" w:color="auto" w:sz="6" w:space="0"/>
                    <w:right w:val="single" w:color="auto" w:sz="6" w:space="0"/>
                  </w:tcBorders>
                  <w:vAlign w:val="center"/>
                </w:tcPr>
                <w:p w14:paraId="725D9444">
                  <w:pPr>
                    <w:numPr>
                      <w:ilvl w:val="0"/>
                      <w:numId w:val="3"/>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额定质量(kg)</w:t>
                  </w:r>
                </w:p>
              </w:tc>
              <w:tc>
                <w:tcPr>
                  <w:tcW w:w="3682" w:type="dxa"/>
                  <w:tcBorders>
                    <w:top w:val="single" w:color="auto" w:sz="6" w:space="0"/>
                    <w:left w:val="single" w:color="auto" w:sz="6" w:space="0"/>
                    <w:bottom w:val="single" w:color="auto" w:sz="6" w:space="0"/>
                    <w:right w:val="single" w:color="auto" w:sz="6" w:space="0"/>
                  </w:tcBorders>
                  <w:vAlign w:val="center"/>
                </w:tcPr>
                <w:p w14:paraId="6583D49F">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000</w:t>
                  </w:r>
                </w:p>
              </w:tc>
            </w:tr>
            <w:tr w14:paraId="131235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504" w:hRule="atLeast"/>
                <w:jc w:val="center"/>
              </w:trPr>
              <w:tc>
                <w:tcPr>
                  <w:tcW w:w="3717" w:type="dxa"/>
                  <w:tcBorders>
                    <w:top w:val="single" w:color="auto" w:sz="6" w:space="0"/>
                    <w:left w:val="single" w:color="auto" w:sz="6" w:space="0"/>
                    <w:bottom w:val="single" w:color="auto" w:sz="6" w:space="0"/>
                    <w:right w:val="single" w:color="auto" w:sz="6" w:space="0"/>
                  </w:tcBorders>
                  <w:vAlign w:val="center"/>
                </w:tcPr>
                <w:p w14:paraId="698DCC6A">
                  <w:pPr>
                    <w:numPr>
                      <w:ilvl w:val="0"/>
                      <w:numId w:val="3"/>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外形尺寸（长×宽×高(mm)</w:t>
                  </w:r>
                </w:p>
              </w:tc>
              <w:tc>
                <w:tcPr>
                  <w:tcW w:w="3682" w:type="dxa"/>
                  <w:tcBorders>
                    <w:top w:val="single" w:color="auto" w:sz="6" w:space="0"/>
                    <w:left w:val="single" w:color="auto" w:sz="6" w:space="0"/>
                    <w:bottom w:val="single" w:color="auto" w:sz="6" w:space="0"/>
                    <w:right w:val="single" w:color="auto" w:sz="6" w:space="0"/>
                  </w:tcBorders>
                  <w:vAlign w:val="center"/>
                </w:tcPr>
                <w:p w14:paraId="56435FB5">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80</w:t>
                  </w:r>
                  <w:r>
                    <w:rPr>
                      <w:rFonts w:hint="eastAsia" w:ascii="宋体" w:hAnsi="宋体" w:eastAsia="宋体" w:cs="宋体"/>
                      <w:color w:val="auto"/>
                      <w:sz w:val="21"/>
                      <w:szCs w:val="21"/>
                      <w:highlight w:val="none"/>
                    </w:rPr>
                    <w:t>00×25</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0×3000</w:t>
                  </w:r>
                </w:p>
              </w:tc>
            </w:tr>
            <w:tr w14:paraId="70CA8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504" w:hRule="atLeast"/>
                <w:jc w:val="center"/>
              </w:trPr>
              <w:tc>
                <w:tcPr>
                  <w:tcW w:w="3717" w:type="dxa"/>
                  <w:tcBorders>
                    <w:top w:val="single" w:color="auto" w:sz="6" w:space="0"/>
                    <w:left w:val="single" w:color="auto" w:sz="6" w:space="0"/>
                    <w:bottom w:val="single" w:color="auto" w:sz="6" w:space="0"/>
                    <w:right w:val="single" w:color="auto" w:sz="6" w:space="0"/>
                  </w:tcBorders>
                  <w:vAlign w:val="center"/>
                </w:tcPr>
                <w:p w14:paraId="41C05339">
                  <w:pPr>
                    <w:numPr>
                      <w:ilvl w:val="0"/>
                      <w:numId w:val="3"/>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前悬/后悬（mm）</w:t>
                  </w:r>
                </w:p>
              </w:tc>
              <w:tc>
                <w:tcPr>
                  <w:tcW w:w="3682" w:type="dxa"/>
                  <w:tcBorders>
                    <w:top w:val="single" w:color="auto" w:sz="6" w:space="0"/>
                    <w:left w:val="single" w:color="auto" w:sz="6" w:space="0"/>
                    <w:bottom w:val="single" w:color="auto" w:sz="6" w:space="0"/>
                    <w:right w:val="single" w:color="auto" w:sz="6" w:space="0"/>
                  </w:tcBorders>
                  <w:vAlign w:val="center"/>
                </w:tcPr>
                <w:p w14:paraId="50E5A396">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≤1400/2240</w:t>
                  </w:r>
                </w:p>
              </w:tc>
            </w:tr>
            <w:tr w14:paraId="16E0C3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504" w:hRule="atLeast"/>
                <w:jc w:val="center"/>
              </w:trPr>
              <w:tc>
                <w:tcPr>
                  <w:tcW w:w="3717" w:type="dxa"/>
                  <w:tcBorders>
                    <w:top w:val="single" w:color="auto" w:sz="6" w:space="0"/>
                    <w:left w:val="single" w:color="auto" w:sz="6" w:space="0"/>
                    <w:bottom w:val="single" w:color="auto" w:sz="6" w:space="0"/>
                    <w:right w:val="single" w:color="auto" w:sz="6" w:space="0"/>
                  </w:tcBorders>
                  <w:vAlign w:val="center"/>
                </w:tcPr>
                <w:p w14:paraId="3266911A">
                  <w:pPr>
                    <w:numPr>
                      <w:ilvl w:val="0"/>
                      <w:numId w:val="3"/>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最高车速（km/h）</w:t>
                  </w:r>
                </w:p>
              </w:tc>
              <w:tc>
                <w:tcPr>
                  <w:tcW w:w="3682" w:type="dxa"/>
                  <w:tcBorders>
                    <w:top w:val="single" w:color="auto" w:sz="6" w:space="0"/>
                    <w:left w:val="single" w:color="auto" w:sz="6" w:space="0"/>
                    <w:bottom w:val="single" w:color="auto" w:sz="6" w:space="0"/>
                    <w:right w:val="single" w:color="auto" w:sz="6" w:space="0"/>
                  </w:tcBorders>
                  <w:vAlign w:val="center"/>
                </w:tcPr>
                <w:p w14:paraId="0C54FBB5">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≥89</w:t>
                  </w:r>
                </w:p>
              </w:tc>
            </w:tr>
            <w:tr w14:paraId="6683B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504" w:hRule="atLeast"/>
                <w:jc w:val="center"/>
              </w:trPr>
              <w:tc>
                <w:tcPr>
                  <w:tcW w:w="3717" w:type="dxa"/>
                  <w:tcBorders>
                    <w:top w:val="single" w:color="auto" w:sz="6" w:space="0"/>
                    <w:left w:val="single" w:color="auto" w:sz="6" w:space="0"/>
                    <w:bottom w:val="single" w:color="auto" w:sz="6" w:space="0"/>
                    <w:right w:val="single" w:color="auto" w:sz="6" w:space="0"/>
                  </w:tcBorders>
                  <w:vAlign w:val="center"/>
                </w:tcPr>
                <w:p w14:paraId="705EDC92">
                  <w:pPr>
                    <w:numPr>
                      <w:ilvl w:val="0"/>
                      <w:numId w:val="3"/>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轴距（mm）</w:t>
                  </w:r>
                </w:p>
              </w:tc>
              <w:tc>
                <w:tcPr>
                  <w:tcW w:w="3682" w:type="dxa"/>
                  <w:tcBorders>
                    <w:top w:val="single" w:color="auto" w:sz="6" w:space="0"/>
                    <w:left w:val="single" w:color="auto" w:sz="6" w:space="0"/>
                    <w:bottom w:val="single" w:color="auto" w:sz="6" w:space="0"/>
                    <w:right w:val="single" w:color="auto" w:sz="6" w:space="0"/>
                  </w:tcBorders>
                  <w:vAlign w:val="center"/>
                </w:tcPr>
                <w:p w14:paraId="4F7AA062">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≤5300</w:t>
                  </w:r>
                </w:p>
              </w:tc>
            </w:tr>
            <w:tr w14:paraId="5507C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504" w:hRule="atLeast"/>
                <w:jc w:val="center"/>
              </w:trPr>
              <w:tc>
                <w:tcPr>
                  <w:tcW w:w="3717" w:type="dxa"/>
                  <w:tcBorders>
                    <w:top w:val="single" w:color="auto" w:sz="6" w:space="0"/>
                    <w:left w:val="single" w:color="auto" w:sz="6" w:space="0"/>
                    <w:bottom w:val="single" w:color="auto" w:sz="6" w:space="0"/>
                    <w:right w:val="single" w:color="auto" w:sz="6" w:space="0"/>
                  </w:tcBorders>
                  <w:vAlign w:val="center"/>
                </w:tcPr>
                <w:p w14:paraId="2CE2C973">
                  <w:pPr>
                    <w:numPr>
                      <w:ilvl w:val="0"/>
                      <w:numId w:val="3"/>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高压水泵压力(MPa)</w:t>
                  </w:r>
                </w:p>
              </w:tc>
              <w:tc>
                <w:tcPr>
                  <w:tcW w:w="3682" w:type="dxa"/>
                  <w:tcBorders>
                    <w:top w:val="single" w:color="auto" w:sz="6" w:space="0"/>
                    <w:left w:val="single" w:color="auto" w:sz="6" w:space="0"/>
                    <w:bottom w:val="single" w:color="auto" w:sz="6" w:space="0"/>
                    <w:right w:val="single" w:color="auto" w:sz="6" w:space="0"/>
                  </w:tcBorders>
                  <w:vAlign w:val="center"/>
                </w:tcPr>
                <w:p w14:paraId="1912A6EF">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r>
            <w:tr w14:paraId="0D3A4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504" w:hRule="atLeast"/>
                <w:jc w:val="center"/>
              </w:trPr>
              <w:tc>
                <w:tcPr>
                  <w:tcW w:w="3717" w:type="dxa"/>
                  <w:tcBorders>
                    <w:top w:val="single" w:color="auto" w:sz="6" w:space="0"/>
                    <w:left w:val="single" w:color="auto" w:sz="6" w:space="0"/>
                    <w:bottom w:val="single" w:color="auto" w:sz="6" w:space="0"/>
                    <w:right w:val="single" w:color="auto" w:sz="6" w:space="0"/>
                  </w:tcBorders>
                  <w:vAlign w:val="center"/>
                </w:tcPr>
                <w:p w14:paraId="37B52F31">
                  <w:pPr>
                    <w:numPr>
                      <w:ilvl w:val="0"/>
                      <w:numId w:val="3"/>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高压水泵流量(L/min)</w:t>
                  </w:r>
                </w:p>
              </w:tc>
              <w:tc>
                <w:tcPr>
                  <w:tcW w:w="3682" w:type="dxa"/>
                  <w:tcBorders>
                    <w:top w:val="single" w:color="auto" w:sz="6" w:space="0"/>
                    <w:left w:val="single" w:color="auto" w:sz="6" w:space="0"/>
                    <w:bottom w:val="single" w:color="auto" w:sz="6" w:space="0"/>
                    <w:right w:val="single" w:color="auto" w:sz="6" w:space="0"/>
                  </w:tcBorders>
                  <w:vAlign w:val="center"/>
                </w:tcPr>
                <w:p w14:paraId="4EE7A70E">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w:t>
                  </w:r>
                </w:p>
              </w:tc>
            </w:tr>
            <w:tr w14:paraId="088354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504" w:hRule="atLeast"/>
                <w:jc w:val="center"/>
              </w:trPr>
              <w:tc>
                <w:tcPr>
                  <w:tcW w:w="3717" w:type="dxa"/>
                  <w:tcBorders>
                    <w:top w:val="single" w:color="auto" w:sz="6" w:space="0"/>
                    <w:left w:val="single" w:color="auto" w:sz="6" w:space="0"/>
                    <w:bottom w:val="single" w:color="auto" w:sz="6" w:space="0"/>
                    <w:right w:val="single" w:color="auto" w:sz="6" w:space="0"/>
                  </w:tcBorders>
                  <w:vAlign w:val="center"/>
                </w:tcPr>
                <w:p w14:paraId="43BEABC2">
                  <w:pPr>
                    <w:numPr>
                      <w:ilvl w:val="0"/>
                      <w:numId w:val="3"/>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最大洗扫宽度(m)</w:t>
                  </w:r>
                </w:p>
              </w:tc>
              <w:tc>
                <w:tcPr>
                  <w:tcW w:w="3682" w:type="dxa"/>
                  <w:tcBorders>
                    <w:top w:val="single" w:color="auto" w:sz="6" w:space="0"/>
                    <w:left w:val="single" w:color="auto" w:sz="6" w:space="0"/>
                    <w:bottom w:val="single" w:color="auto" w:sz="6" w:space="0"/>
                    <w:right w:val="single" w:color="auto" w:sz="6" w:space="0"/>
                  </w:tcBorders>
                  <w:vAlign w:val="center"/>
                </w:tcPr>
                <w:p w14:paraId="7976434F">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r>
            <w:tr w14:paraId="045DD9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504" w:hRule="atLeast"/>
                <w:jc w:val="center"/>
              </w:trPr>
              <w:tc>
                <w:tcPr>
                  <w:tcW w:w="3717" w:type="dxa"/>
                  <w:tcBorders>
                    <w:top w:val="single" w:color="auto" w:sz="6" w:space="0"/>
                    <w:left w:val="single" w:color="auto" w:sz="6" w:space="0"/>
                    <w:bottom w:val="single" w:color="auto" w:sz="6" w:space="0"/>
                    <w:right w:val="single" w:color="auto" w:sz="6" w:space="0"/>
                  </w:tcBorders>
                  <w:vAlign w:val="center"/>
                </w:tcPr>
                <w:p w14:paraId="06471A6C">
                  <w:pPr>
                    <w:numPr>
                      <w:ilvl w:val="0"/>
                      <w:numId w:val="3"/>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清水箱容积(m³)</w:t>
                  </w:r>
                </w:p>
              </w:tc>
              <w:tc>
                <w:tcPr>
                  <w:tcW w:w="3682" w:type="dxa"/>
                  <w:tcBorders>
                    <w:top w:val="single" w:color="auto" w:sz="6" w:space="0"/>
                    <w:left w:val="single" w:color="auto" w:sz="6" w:space="0"/>
                    <w:bottom w:val="single" w:color="auto" w:sz="6" w:space="0"/>
                    <w:right w:val="single" w:color="auto" w:sz="6" w:space="0"/>
                  </w:tcBorders>
                  <w:vAlign w:val="center"/>
                </w:tcPr>
                <w:p w14:paraId="5EB7232F">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r>
            <w:tr w14:paraId="7154F2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504" w:hRule="atLeast"/>
                <w:jc w:val="center"/>
              </w:trPr>
              <w:tc>
                <w:tcPr>
                  <w:tcW w:w="3717" w:type="dxa"/>
                  <w:tcBorders>
                    <w:top w:val="single" w:color="auto" w:sz="6" w:space="0"/>
                    <w:left w:val="single" w:color="auto" w:sz="6" w:space="0"/>
                    <w:bottom w:val="single" w:color="auto" w:sz="6" w:space="0"/>
                    <w:right w:val="single" w:color="auto" w:sz="6" w:space="0"/>
                  </w:tcBorders>
                  <w:vAlign w:val="center"/>
                </w:tcPr>
                <w:p w14:paraId="62FBD703">
                  <w:pPr>
                    <w:numPr>
                      <w:ilvl w:val="0"/>
                      <w:numId w:val="3"/>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不锈钢垃圾箱容积(m³)</w:t>
                  </w:r>
                </w:p>
              </w:tc>
              <w:tc>
                <w:tcPr>
                  <w:tcW w:w="3682" w:type="dxa"/>
                  <w:tcBorders>
                    <w:top w:val="single" w:color="auto" w:sz="6" w:space="0"/>
                    <w:left w:val="single" w:color="auto" w:sz="6" w:space="0"/>
                    <w:bottom w:val="single" w:color="auto" w:sz="6" w:space="0"/>
                    <w:right w:val="single" w:color="auto" w:sz="6" w:space="0"/>
                  </w:tcBorders>
                  <w:vAlign w:val="center"/>
                </w:tcPr>
                <w:p w14:paraId="572D222D">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r>
            <w:tr w14:paraId="315FD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518" w:hRule="atLeast"/>
                <w:jc w:val="center"/>
              </w:trPr>
              <w:tc>
                <w:tcPr>
                  <w:tcW w:w="3717" w:type="dxa"/>
                  <w:tcBorders>
                    <w:top w:val="single" w:color="auto" w:sz="6" w:space="0"/>
                    <w:left w:val="single" w:color="auto" w:sz="6" w:space="0"/>
                    <w:bottom w:val="single" w:color="auto" w:sz="6" w:space="0"/>
                    <w:right w:val="single" w:color="auto" w:sz="6" w:space="0"/>
                  </w:tcBorders>
                </w:tcPr>
                <w:p w14:paraId="40277A32">
                  <w:pPr>
                    <w:numPr>
                      <w:ilvl w:val="0"/>
                      <w:numId w:val="3"/>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驾驶室调温措施</w:t>
                  </w:r>
                </w:p>
              </w:tc>
              <w:tc>
                <w:tcPr>
                  <w:tcW w:w="3682" w:type="dxa"/>
                  <w:tcBorders>
                    <w:top w:val="single" w:color="auto" w:sz="6" w:space="0"/>
                    <w:left w:val="single" w:color="auto" w:sz="6" w:space="0"/>
                    <w:bottom w:val="single" w:color="auto" w:sz="6" w:space="0"/>
                    <w:right w:val="single" w:color="auto" w:sz="6" w:space="0"/>
                  </w:tcBorders>
                </w:tcPr>
                <w:p w14:paraId="786AAF6B">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配原厂冷暖空调</w:t>
                  </w:r>
                </w:p>
              </w:tc>
            </w:tr>
          </w:tbl>
          <w:p w14:paraId="6A4C693A">
            <w:pPr>
              <w:spacing w:line="48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二、主要功能要求</w:t>
            </w:r>
          </w:p>
          <w:p w14:paraId="74BBF27D">
            <w:pPr>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1、采用“中置盘扫+中置V型喷水架+中置双吸口宽吸嘴结构”布置形式。具有多种作业模式，实现路面的清扫、清洗及洗扫。</w:t>
            </w:r>
          </w:p>
          <w:p w14:paraId="3E18F9D9">
            <w:pPr>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2、左右扫盘具有避障保护及复位功能、左右高压侧喷杆具有双向自动避障保护及复位功能。</w:t>
            </w:r>
          </w:p>
          <w:p w14:paraId="42AAF796">
            <w:pPr>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3、上装电动机启动后，通过皮带传动带动风机旋转工作和液压油泵工作。</w:t>
            </w:r>
          </w:p>
          <w:p w14:paraId="348C4E4D">
            <w:pPr>
              <w:spacing w:line="4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4、高压清洗喷杆由左、右喷杆和吸嘴内喷杆组成，作业时喷杆离地高度固定不变，不随整车载荷变化。</w:t>
            </w:r>
          </w:p>
          <w:p w14:paraId="63968A32">
            <w:pPr>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5、上装驱动电机转速调节通过驾驶内的电机调速旋钮调节，设置一键“保洁/强力”模式，若路面强污染工况，可通过操作界面进入到增强模式。</w:t>
            </w:r>
          </w:p>
          <w:p w14:paraId="7911C302">
            <w:pPr>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6、清扫装置摆动和升降采用单独控制元件进行控制，同时扫盘摆动可根据障碍物进行自动避障；扫刷触地调整机构采用螺纹筒调节控制；扫盘转速可根据不同清扫工况选择高、中、低三档。</w:t>
            </w:r>
          </w:p>
          <w:p w14:paraId="139B19E2">
            <w:pPr>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设有清水箱低水位，污水垃圾箱高水位，作业提示，电机转速、电机温度、电机控制器温度，电机工作时间，倒车提示，液压油泄漏，垃圾箱倾翻、复位，后门开闭安全报警装置等，保护洗扫车在遇缺水等特定工况或误操作时不受损害。</w:t>
            </w:r>
          </w:p>
          <w:p w14:paraId="38332EBF">
            <w:pPr>
              <w:spacing w:line="480" w:lineRule="exac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8、具有红绿灯模式选择，上装上电时，默认是红绿灯开关处于开启状态。红绿灯开关开启时，上装自动检测底盘车速情况，当底盘车速低于1km/h，上装自动进入低功耗模式，扫盘喷水和高压管路喷水动作停止。</w:t>
            </w:r>
          </w:p>
          <w:p w14:paraId="4CC4E33A">
            <w:pPr>
              <w:spacing w:line="48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9、车辆采用“显示屏+控制器+CAN总线操作面板”的控制模式。作业起动和作业停止时，驱动电机转速控制、吸嘴升降、扫盘收放、左右喷杆收放等作业装置全由一键控制。</w:t>
            </w:r>
          </w:p>
          <w:p w14:paraId="25BBDE04">
            <w:pPr>
              <w:spacing w:line="480" w:lineRule="exac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rPr>
              <w:t>10、车辆后部及右侧装摄像头，驾驶室内装彩色显示屏。作业时，可以在驾驶室内检查监视清洁效果。倒车时可以导航，防止追尾。</w:t>
            </w:r>
          </w:p>
        </w:tc>
        <w:tc>
          <w:tcPr>
            <w:tcW w:w="1797" w:type="dxa"/>
            <w:tcBorders>
              <w:top w:val="single" w:color="000000" w:sz="4" w:space="0"/>
              <w:left w:val="nil"/>
              <w:bottom w:val="single" w:color="000000" w:sz="4" w:space="0"/>
              <w:right w:val="single" w:color="000000" w:sz="4" w:space="0"/>
            </w:tcBorders>
            <w:shd w:val="clear" w:color="auto" w:fill="auto"/>
            <w:vAlign w:val="center"/>
          </w:tcPr>
          <w:p w14:paraId="6D0CFE2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新能源车辆，包含牌照，一年保险（全险及商业三责险),车辆管理系统（车载北斗系统）</w:t>
            </w:r>
          </w:p>
        </w:tc>
      </w:tr>
      <w:tr w14:paraId="1A69F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9"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3A2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8E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18吨雾炮车</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98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辆</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AF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93F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5D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276</w:t>
            </w:r>
          </w:p>
        </w:tc>
        <w:tc>
          <w:tcPr>
            <w:tcW w:w="7500" w:type="dxa"/>
            <w:tcBorders>
              <w:top w:val="single" w:color="000000" w:sz="4" w:space="0"/>
              <w:left w:val="nil"/>
              <w:bottom w:val="single" w:color="000000" w:sz="4" w:space="0"/>
              <w:right w:val="single" w:color="000000" w:sz="4" w:space="0"/>
            </w:tcBorders>
            <w:shd w:val="clear" w:color="auto" w:fill="auto"/>
            <w:vAlign w:val="center"/>
          </w:tcPr>
          <w:tbl>
            <w:tblPr>
              <w:tblStyle w:val="16"/>
              <w:tblW w:w="69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3645"/>
              <w:gridCol w:w="3264"/>
            </w:tblGrid>
            <w:tr w14:paraId="1BDD2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3645" w:type="dxa"/>
                  <w:tcBorders>
                    <w:top w:val="single" w:color="auto" w:sz="6" w:space="0"/>
                    <w:left w:val="single" w:color="auto" w:sz="6" w:space="0"/>
                    <w:bottom w:val="single" w:color="auto" w:sz="6" w:space="0"/>
                    <w:right w:val="single" w:color="auto" w:sz="6" w:space="0"/>
                  </w:tcBorders>
                  <w:vAlign w:val="center"/>
                </w:tcPr>
                <w:p w14:paraId="4FB1F06F">
                  <w:pPr>
                    <w:spacing w:line="50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序号、</w:t>
                  </w:r>
                  <w:r>
                    <w:rPr>
                      <w:rFonts w:hint="eastAsia" w:ascii="宋体" w:hAnsi="宋体" w:eastAsia="宋体" w:cs="宋体"/>
                      <w:color w:val="auto"/>
                      <w:sz w:val="21"/>
                      <w:szCs w:val="21"/>
                      <w:highlight w:val="none"/>
                    </w:rPr>
                    <w:t>项目</w:t>
                  </w:r>
                </w:p>
              </w:tc>
              <w:tc>
                <w:tcPr>
                  <w:tcW w:w="3264" w:type="dxa"/>
                  <w:tcBorders>
                    <w:top w:val="single" w:color="auto" w:sz="6" w:space="0"/>
                    <w:left w:val="single" w:color="auto" w:sz="6" w:space="0"/>
                    <w:bottom w:val="single" w:color="auto" w:sz="6" w:space="0"/>
                    <w:right w:val="single" w:color="auto" w:sz="6" w:space="0"/>
                  </w:tcBorders>
                  <w:vAlign w:val="center"/>
                </w:tcPr>
                <w:p w14:paraId="7C88DD5C">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参数</w:t>
                  </w:r>
                </w:p>
              </w:tc>
            </w:tr>
            <w:tr w14:paraId="5EC266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3645" w:type="dxa"/>
                  <w:tcBorders>
                    <w:top w:val="single" w:color="auto" w:sz="6" w:space="0"/>
                    <w:left w:val="single" w:color="auto" w:sz="6" w:space="0"/>
                    <w:bottom w:val="single" w:color="auto" w:sz="6" w:space="0"/>
                    <w:right w:val="single" w:color="auto" w:sz="6" w:space="0"/>
                  </w:tcBorders>
                  <w:vAlign w:val="center"/>
                </w:tcPr>
                <w:p w14:paraId="392C8690">
                  <w:pPr>
                    <w:numPr>
                      <w:ilvl w:val="0"/>
                      <w:numId w:val="4"/>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底盘类别</w:t>
                  </w:r>
                </w:p>
              </w:tc>
              <w:tc>
                <w:tcPr>
                  <w:tcW w:w="3264" w:type="dxa"/>
                  <w:tcBorders>
                    <w:top w:val="single" w:color="auto" w:sz="6" w:space="0"/>
                    <w:left w:val="single" w:color="auto" w:sz="6" w:space="0"/>
                    <w:bottom w:val="single" w:color="auto" w:sz="6" w:space="0"/>
                    <w:right w:val="single" w:color="auto" w:sz="6" w:space="0"/>
                  </w:tcBorders>
                  <w:vAlign w:val="center"/>
                </w:tcPr>
                <w:p w14:paraId="7F87B6C7">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二类载货汽车底盘</w:t>
                  </w:r>
                </w:p>
              </w:tc>
            </w:tr>
            <w:tr w14:paraId="737146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3645" w:type="dxa"/>
                  <w:tcBorders>
                    <w:top w:val="single" w:color="auto" w:sz="6" w:space="0"/>
                    <w:left w:val="single" w:color="auto" w:sz="6" w:space="0"/>
                    <w:bottom w:val="single" w:color="auto" w:sz="6" w:space="0"/>
                    <w:right w:val="single" w:color="auto" w:sz="6" w:space="0"/>
                  </w:tcBorders>
                  <w:vAlign w:val="center"/>
                </w:tcPr>
                <w:p w14:paraId="29B87A1C">
                  <w:pPr>
                    <w:numPr>
                      <w:ilvl w:val="0"/>
                      <w:numId w:val="4"/>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底盘驱动电机峰值功率(kw)</w:t>
                  </w:r>
                </w:p>
              </w:tc>
              <w:tc>
                <w:tcPr>
                  <w:tcW w:w="3264" w:type="dxa"/>
                  <w:tcBorders>
                    <w:top w:val="single" w:color="auto" w:sz="6" w:space="0"/>
                    <w:left w:val="single" w:color="auto" w:sz="6" w:space="0"/>
                    <w:bottom w:val="single" w:color="auto" w:sz="6" w:space="0"/>
                    <w:right w:val="single" w:color="auto" w:sz="6" w:space="0"/>
                  </w:tcBorders>
                  <w:vAlign w:val="center"/>
                </w:tcPr>
                <w:p w14:paraId="3DA1AEC2">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≥160</w:t>
                  </w:r>
                </w:p>
              </w:tc>
            </w:tr>
            <w:tr w14:paraId="3DA89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3645" w:type="dxa"/>
                  <w:tcBorders>
                    <w:top w:val="single" w:color="auto" w:sz="6" w:space="0"/>
                    <w:left w:val="single" w:color="auto" w:sz="6" w:space="0"/>
                    <w:bottom w:val="single" w:color="auto" w:sz="6" w:space="0"/>
                    <w:right w:val="single" w:color="auto" w:sz="6" w:space="0"/>
                  </w:tcBorders>
                  <w:vAlign w:val="center"/>
                </w:tcPr>
                <w:p w14:paraId="0BFAED8B">
                  <w:pPr>
                    <w:numPr>
                      <w:ilvl w:val="0"/>
                      <w:numId w:val="4"/>
                    </w:numPr>
                    <w:spacing w:line="51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电池能量密度（wh/kg）</w:t>
                  </w:r>
                </w:p>
              </w:tc>
              <w:tc>
                <w:tcPr>
                  <w:tcW w:w="3264" w:type="dxa"/>
                  <w:tcBorders>
                    <w:top w:val="single" w:color="auto" w:sz="6" w:space="0"/>
                    <w:left w:val="single" w:color="auto" w:sz="6" w:space="0"/>
                    <w:bottom w:val="single" w:color="auto" w:sz="6" w:space="0"/>
                    <w:right w:val="single" w:color="auto" w:sz="6" w:space="0"/>
                  </w:tcBorders>
                  <w:vAlign w:val="center"/>
                </w:tcPr>
                <w:p w14:paraId="009C9EB7">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w:t>
                  </w:r>
                </w:p>
              </w:tc>
            </w:tr>
            <w:tr w14:paraId="262CFC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3645" w:type="dxa"/>
                  <w:tcBorders>
                    <w:top w:val="single" w:color="auto" w:sz="6" w:space="0"/>
                    <w:left w:val="single" w:color="auto" w:sz="6" w:space="0"/>
                    <w:bottom w:val="single" w:color="auto" w:sz="6" w:space="0"/>
                    <w:right w:val="single" w:color="auto" w:sz="6" w:space="0"/>
                  </w:tcBorders>
                  <w:vAlign w:val="center"/>
                </w:tcPr>
                <w:p w14:paraId="64227E15">
                  <w:pPr>
                    <w:numPr>
                      <w:ilvl w:val="0"/>
                      <w:numId w:val="4"/>
                    </w:numPr>
                    <w:spacing w:line="51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储能装置总储电量（kWh）</w:t>
                  </w:r>
                </w:p>
              </w:tc>
              <w:tc>
                <w:tcPr>
                  <w:tcW w:w="3264" w:type="dxa"/>
                  <w:tcBorders>
                    <w:top w:val="single" w:color="auto" w:sz="6" w:space="0"/>
                    <w:left w:val="single" w:color="auto" w:sz="6" w:space="0"/>
                    <w:bottom w:val="single" w:color="auto" w:sz="6" w:space="0"/>
                    <w:right w:val="single" w:color="auto" w:sz="6" w:space="0"/>
                  </w:tcBorders>
                  <w:vAlign w:val="center"/>
                </w:tcPr>
                <w:p w14:paraId="2F52841D">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≥280</w:t>
                  </w:r>
                </w:p>
              </w:tc>
            </w:tr>
            <w:tr w14:paraId="42C64B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3645" w:type="dxa"/>
                  <w:tcBorders>
                    <w:top w:val="single" w:color="auto" w:sz="6" w:space="0"/>
                    <w:left w:val="single" w:color="auto" w:sz="6" w:space="0"/>
                    <w:bottom w:val="single" w:color="auto" w:sz="6" w:space="0"/>
                    <w:right w:val="single" w:color="auto" w:sz="6" w:space="0"/>
                  </w:tcBorders>
                  <w:vAlign w:val="center"/>
                </w:tcPr>
                <w:p w14:paraId="4D5902B7">
                  <w:pPr>
                    <w:numPr>
                      <w:ilvl w:val="0"/>
                      <w:numId w:val="4"/>
                    </w:numPr>
                    <w:spacing w:line="51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续航里程（km）</w:t>
                  </w:r>
                </w:p>
              </w:tc>
              <w:tc>
                <w:tcPr>
                  <w:tcW w:w="3264" w:type="dxa"/>
                  <w:tcBorders>
                    <w:top w:val="single" w:color="auto" w:sz="6" w:space="0"/>
                    <w:left w:val="single" w:color="auto" w:sz="6" w:space="0"/>
                    <w:bottom w:val="single" w:color="auto" w:sz="6" w:space="0"/>
                    <w:right w:val="single" w:color="auto" w:sz="6" w:space="0"/>
                  </w:tcBorders>
                  <w:vAlign w:val="center"/>
                </w:tcPr>
                <w:p w14:paraId="77256126">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≥360</w:t>
                  </w:r>
                </w:p>
              </w:tc>
            </w:tr>
            <w:tr w14:paraId="693DFD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3645" w:type="dxa"/>
                  <w:tcBorders>
                    <w:top w:val="single" w:color="auto" w:sz="6" w:space="0"/>
                    <w:left w:val="single" w:color="auto" w:sz="6" w:space="0"/>
                    <w:bottom w:val="single" w:color="auto" w:sz="6" w:space="0"/>
                    <w:right w:val="single" w:color="auto" w:sz="6" w:space="0"/>
                  </w:tcBorders>
                  <w:vAlign w:val="center"/>
                </w:tcPr>
                <w:p w14:paraId="2B529719">
                  <w:pPr>
                    <w:numPr>
                      <w:ilvl w:val="0"/>
                      <w:numId w:val="4"/>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底盘电池种类</w:t>
                  </w:r>
                </w:p>
              </w:tc>
              <w:tc>
                <w:tcPr>
                  <w:tcW w:w="3264" w:type="dxa"/>
                  <w:tcBorders>
                    <w:top w:val="single" w:color="auto" w:sz="6" w:space="0"/>
                    <w:left w:val="single" w:color="auto" w:sz="6" w:space="0"/>
                    <w:bottom w:val="single" w:color="auto" w:sz="6" w:space="0"/>
                    <w:right w:val="single" w:color="auto" w:sz="6" w:space="0"/>
                  </w:tcBorders>
                  <w:vAlign w:val="center"/>
                </w:tcPr>
                <w:p w14:paraId="577188E4">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磷酸铁锂电池</w:t>
                  </w:r>
                </w:p>
              </w:tc>
            </w:tr>
            <w:tr w14:paraId="03F4F9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3645" w:type="dxa"/>
                  <w:tcBorders>
                    <w:top w:val="single" w:color="auto" w:sz="6" w:space="0"/>
                    <w:left w:val="single" w:color="auto" w:sz="6" w:space="0"/>
                    <w:bottom w:val="single" w:color="auto" w:sz="6" w:space="0"/>
                    <w:right w:val="single" w:color="auto" w:sz="6" w:space="0"/>
                  </w:tcBorders>
                  <w:vAlign w:val="center"/>
                </w:tcPr>
                <w:p w14:paraId="3FC03531">
                  <w:pPr>
                    <w:numPr>
                      <w:ilvl w:val="0"/>
                      <w:numId w:val="4"/>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满载最大总质量(kg)</w:t>
                  </w:r>
                </w:p>
              </w:tc>
              <w:tc>
                <w:tcPr>
                  <w:tcW w:w="3264" w:type="dxa"/>
                  <w:tcBorders>
                    <w:top w:val="single" w:color="auto" w:sz="6" w:space="0"/>
                    <w:left w:val="single" w:color="auto" w:sz="6" w:space="0"/>
                    <w:bottom w:val="single" w:color="auto" w:sz="6" w:space="0"/>
                    <w:right w:val="single" w:color="auto" w:sz="6" w:space="0"/>
                  </w:tcBorders>
                  <w:vAlign w:val="center"/>
                </w:tcPr>
                <w:p w14:paraId="611C25BE">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18000（±500）</w:t>
                  </w:r>
                </w:p>
              </w:tc>
            </w:tr>
            <w:tr w14:paraId="661CA8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3645" w:type="dxa"/>
                  <w:tcBorders>
                    <w:top w:val="single" w:color="auto" w:sz="6" w:space="0"/>
                    <w:left w:val="single" w:color="auto" w:sz="6" w:space="0"/>
                    <w:bottom w:val="single" w:color="auto" w:sz="6" w:space="0"/>
                    <w:right w:val="single" w:color="auto" w:sz="6" w:space="0"/>
                  </w:tcBorders>
                  <w:vAlign w:val="center"/>
                </w:tcPr>
                <w:p w14:paraId="1736D2F8">
                  <w:pPr>
                    <w:numPr>
                      <w:ilvl w:val="0"/>
                      <w:numId w:val="4"/>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整备质量(kg)</w:t>
                  </w:r>
                </w:p>
              </w:tc>
              <w:tc>
                <w:tcPr>
                  <w:tcW w:w="3264" w:type="dxa"/>
                  <w:tcBorders>
                    <w:top w:val="single" w:color="auto" w:sz="6" w:space="0"/>
                    <w:left w:val="single" w:color="auto" w:sz="6" w:space="0"/>
                    <w:bottom w:val="single" w:color="auto" w:sz="6" w:space="0"/>
                    <w:right w:val="single" w:color="auto" w:sz="6" w:space="0"/>
                  </w:tcBorders>
                  <w:vAlign w:val="center"/>
                </w:tcPr>
                <w:p w14:paraId="2017D9FC">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≥10800</w:t>
                  </w:r>
                </w:p>
              </w:tc>
            </w:tr>
            <w:tr w14:paraId="0DA1AD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3645" w:type="dxa"/>
                  <w:tcBorders>
                    <w:top w:val="single" w:color="auto" w:sz="6" w:space="0"/>
                    <w:left w:val="single" w:color="auto" w:sz="6" w:space="0"/>
                    <w:bottom w:val="single" w:color="auto" w:sz="6" w:space="0"/>
                    <w:right w:val="single" w:color="auto" w:sz="6" w:space="0"/>
                  </w:tcBorders>
                  <w:vAlign w:val="center"/>
                </w:tcPr>
                <w:p w14:paraId="4C6C8274">
                  <w:pPr>
                    <w:numPr>
                      <w:ilvl w:val="0"/>
                      <w:numId w:val="4"/>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额定质量(kg)</w:t>
                  </w:r>
                </w:p>
              </w:tc>
              <w:tc>
                <w:tcPr>
                  <w:tcW w:w="3264" w:type="dxa"/>
                  <w:tcBorders>
                    <w:top w:val="single" w:color="auto" w:sz="6" w:space="0"/>
                    <w:left w:val="single" w:color="auto" w:sz="6" w:space="0"/>
                    <w:bottom w:val="single" w:color="auto" w:sz="6" w:space="0"/>
                    <w:right w:val="single" w:color="auto" w:sz="6" w:space="0"/>
                  </w:tcBorders>
                  <w:vAlign w:val="center"/>
                </w:tcPr>
                <w:p w14:paraId="3BA0B715">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≥5500</w:t>
                  </w:r>
                </w:p>
              </w:tc>
            </w:tr>
            <w:tr w14:paraId="30C5B0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3645" w:type="dxa"/>
                  <w:tcBorders>
                    <w:top w:val="single" w:color="auto" w:sz="6" w:space="0"/>
                    <w:left w:val="single" w:color="auto" w:sz="6" w:space="0"/>
                    <w:bottom w:val="single" w:color="auto" w:sz="6" w:space="0"/>
                    <w:right w:val="single" w:color="auto" w:sz="6" w:space="0"/>
                  </w:tcBorders>
                  <w:vAlign w:val="center"/>
                </w:tcPr>
                <w:p w14:paraId="4BB506B8">
                  <w:pPr>
                    <w:numPr>
                      <w:ilvl w:val="0"/>
                      <w:numId w:val="4"/>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外形尺寸（长×宽×高）(mm)</w:t>
                  </w:r>
                </w:p>
              </w:tc>
              <w:tc>
                <w:tcPr>
                  <w:tcW w:w="3264" w:type="dxa"/>
                  <w:tcBorders>
                    <w:top w:val="single" w:color="auto" w:sz="6" w:space="0"/>
                    <w:left w:val="single" w:color="auto" w:sz="6" w:space="0"/>
                    <w:bottom w:val="single" w:color="auto" w:sz="6" w:space="0"/>
                    <w:right w:val="single" w:color="auto" w:sz="6" w:space="0"/>
                  </w:tcBorders>
                  <w:vAlign w:val="center"/>
                </w:tcPr>
                <w:p w14:paraId="18C1F732">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≥9600×2490×3700</w:t>
                  </w:r>
                </w:p>
              </w:tc>
            </w:tr>
            <w:tr w14:paraId="11AB0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3645" w:type="dxa"/>
                  <w:tcBorders>
                    <w:top w:val="single" w:color="auto" w:sz="6" w:space="0"/>
                    <w:left w:val="single" w:color="auto" w:sz="6" w:space="0"/>
                    <w:bottom w:val="single" w:color="auto" w:sz="6" w:space="0"/>
                    <w:right w:val="single" w:color="auto" w:sz="6" w:space="0"/>
                  </w:tcBorders>
                  <w:vAlign w:val="center"/>
                </w:tcPr>
                <w:p w14:paraId="378BFB69">
                  <w:pPr>
                    <w:numPr>
                      <w:ilvl w:val="0"/>
                      <w:numId w:val="4"/>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前悬/后悬（mm）</w:t>
                  </w:r>
                </w:p>
              </w:tc>
              <w:tc>
                <w:tcPr>
                  <w:tcW w:w="3264" w:type="dxa"/>
                  <w:tcBorders>
                    <w:top w:val="single" w:color="auto" w:sz="6" w:space="0"/>
                    <w:left w:val="single" w:color="auto" w:sz="6" w:space="0"/>
                    <w:bottom w:val="single" w:color="auto" w:sz="6" w:space="0"/>
                    <w:right w:val="single" w:color="auto" w:sz="6" w:space="0"/>
                  </w:tcBorders>
                  <w:vAlign w:val="center"/>
                </w:tcPr>
                <w:p w14:paraId="199F0E55">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≤1450/2860</w:t>
                  </w:r>
                </w:p>
              </w:tc>
            </w:tr>
            <w:tr w14:paraId="5F59BF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3645" w:type="dxa"/>
                  <w:tcBorders>
                    <w:top w:val="single" w:color="auto" w:sz="6" w:space="0"/>
                    <w:left w:val="single" w:color="auto" w:sz="6" w:space="0"/>
                    <w:bottom w:val="single" w:color="auto" w:sz="6" w:space="0"/>
                    <w:right w:val="single" w:color="auto" w:sz="6" w:space="0"/>
                  </w:tcBorders>
                  <w:vAlign w:val="center"/>
                </w:tcPr>
                <w:p w14:paraId="78578EDC">
                  <w:pPr>
                    <w:numPr>
                      <w:ilvl w:val="0"/>
                      <w:numId w:val="4"/>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接近角/离去角（°）</w:t>
                  </w:r>
                </w:p>
              </w:tc>
              <w:tc>
                <w:tcPr>
                  <w:tcW w:w="3264" w:type="dxa"/>
                  <w:tcBorders>
                    <w:top w:val="single" w:color="auto" w:sz="6" w:space="0"/>
                    <w:left w:val="single" w:color="auto" w:sz="6" w:space="0"/>
                    <w:bottom w:val="single" w:color="auto" w:sz="6" w:space="0"/>
                    <w:right w:val="single" w:color="auto" w:sz="6" w:space="0"/>
                  </w:tcBorders>
                  <w:vAlign w:val="center"/>
                </w:tcPr>
                <w:p w14:paraId="3DB119EB">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≥14/9</w:t>
                  </w:r>
                </w:p>
              </w:tc>
            </w:tr>
            <w:tr w14:paraId="6E9452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3645" w:type="dxa"/>
                  <w:tcBorders>
                    <w:top w:val="single" w:color="auto" w:sz="6" w:space="0"/>
                    <w:left w:val="single" w:color="auto" w:sz="6" w:space="0"/>
                    <w:bottom w:val="single" w:color="auto" w:sz="6" w:space="0"/>
                    <w:right w:val="single" w:color="auto" w:sz="6" w:space="0"/>
                  </w:tcBorders>
                  <w:vAlign w:val="center"/>
                </w:tcPr>
                <w:p w14:paraId="1D8BB5F2">
                  <w:pPr>
                    <w:numPr>
                      <w:ilvl w:val="0"/>
                      <w:numId w:val="4"/>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最高车速（km/h）</w:t>
                  </w:r>
                </w:p>
              </w:tc>
              <w:tc>
                <w:tcPr>
                  <w:tcW w:w="3264" w:type="dxa"/>
                  <w:tcBorders>
                    <w:top w:val="single" w:color="auto" w:sz="6" w:space="0"/>
                    <w:left w:val="single" w:color="auto" w:sz="6" w:space="0"/>
                    <w:bottom w:val="single" w:color="auto" w:sz="6" w:space="0"/>
                    <w:right w:val="single" w:color="auto" w:sz="6" w:space="0"/>
                  </w:tcBorders>
                  <w:vAlign w:val="center"/>
                </w:tcPr>
                <w:p w14:paraId="49FE1447">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≥89</w:t>
                  </w:r>
                </w:p>
              </w:tc>
            </w:tr>
            <w:tr w14:paraId="680650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3645" w:type="dxa"/>
                  <w:tcBorders>
                    <w:top w:val="single" w:color="auto" w:sz="6" w:space="0"/>
                    <w:left w:val="single" w:color="auto" w:sz="6" w:space="0"/>
                    <w:bottom w:val="single" w:color="auto" w:sz="6" w:space="0"/>
                    <w:right w:val="single" w:color="auto" w:sz="6" w:space="0"/>
                  </w:tcBorders>
                  <w:vAlign w:val="center"/>
                </w:tcPr>
                <w:p w14:paraId="7178D127">
                  <w:pPr>
                    <w:numPr>
                      <w:ilvl w:val="0"/>
                      <w:numId w:val="4"/>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轴距(mm)</w:t>
                  </w:r>
                </w:p>
              </w:tc>
              <w:tc>
                <w:tcPr>
                  <w:tcW w:w="3264" w:type="dxa"/>
                  <w:tcBorders>
                    <w:top w:val="single" w:color="auto" w:sz="6" w:space="0"/>
                    <w:left w:val="single" w:color="auto" w:sz="6" w:space="0"/>
                    <w:bottom w:val="single" w:color="auto" w:sz="6" w:space="0"/>
                    <w:right w:val="single" w:color="auto" w:sz="6" w:space="0"/>
                  </w:tcBorders>
                  <w:vAlign w:val="center"/>
                </w:tcPr>
                <w:p w14:paraId="285F215D">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≤5300</w:t>
                  </w:r>
                </w:p>
              </w:tc>
            </w:tr>
            <w:tr w14:paraId="1F2832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3645" w:type="dxa"/>
                  <w:tcBorders>
                    <w:top w:val="single" w:color="auto" w:sz="6" w:space="0"/>
                    <w:left w:val="single" w:color="auto" w:sz="6" w:space="0"/>
                    <w:bottom w:val="single" w:color="auto" w:sz="6" w:space="0"/>
                    <w:right w:val="single" w:color="auto" w:sz="6" w:space="0"/>
                  </w:tcBorders>
                  <w:vAlign w:val="center"/>
                </w:tcPr>
                <w:p w14:paraId="0AA80FE5">
                  <w:pPr>
                    <w:numPr>
                      <w:ilvl w:val="0"/>
                      <w:numId w:val="4"/>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喷雾最大射程（m）</w:t>
                  </w:r>
                </w:p>
              </w:tc>
              <w:tc>
                <w:tcPr>
                  <w:tcW w:w="3264" w:type="dxa"/>
                  <w:tcBorders>
                    <w:top w:val="single" w:color="auto" w:sz="6" w:space="0"/>
                    <w:left w:val="single" w:color="auto" w:sz="6" w:space="0"/>
                    <w:bottom w:val="single" w:color="auto" w:sz="6" w:space="0"/>
                    <w:right w:val="single" w:color="auto" w:sz="6" w:space="0"/>
                  </w:tcBorders>
                  <w:vAlign w:val="center"/>
                </w:tcPr>
                <w:p w14:paraId="61CE0AE4">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r>
            <w:tr w14:paraId="0E0381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3645" w:type="dxa"/>
                  <w:tcBorders>
                    <w:top w:val="single" w:color="auto" w:sz="6" w:space="0"/>
                    <w:left w:val="single" w:color="auto" w:sz="6" w:space="0"/>
                    <w:bottom w:val="single" w:color="auto" w:sz="6" w:space="0"/>
                    <w:right w:val="single" w:color="auto" w:sz="6" w:space="0"/>
                  </w:tcBorders>
                  <w:vAlign w:val="center"/>
                </w:tcPr>
                <w:p w14:paraId="450B32E7">
                  <w:pPr>
                    <w:numPr>
                      <w:ilvl w:val="0"/>
                      <w:numId w:val="4"/>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喷雾最大射高（m）</w:t>
                  </w:r>
                </w:p>
              </w:tc>
              <w:tc>
                <w:tcPr>
                  <w:tcW w:w="3264" w:type="dxa"/>
                  <w:tcBorders>
                    <w:top w:val="single" w:color="auto" w:sz="6" w:space="0"/>
                    <w:left w:val="single" w:color="auto" w:sz="6" w:space="0"/>
                    <w:bottom w:val="single" w:color="auto" w:sz="6" w:space="0"/>
                    <w:right w:val="single" w:color="auto" w:sz="6" w:space="0"/>
                  </w:tcBorders>
                  <w:vAlign w:val="center"/>
                </w:tcPr>
                <w:p w14:paraId="27798D47">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r>
            <w:tr w14:paraId="7BD6D3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3645" w:type="dxa"/>
                  <w:tcBorders>
                    <w:top w:val="single" w:color="auto" w:sz="6" w:space="0"/>
                    <w:left w:val="single" w:color="auto" w:sz="6" w:space="0"/>
                    <w:bottom w:val="single" w:color="auto" w:sz="6" w:space="0"/>
                    <w:right w:val="single" w:color="auto" w:sz="6" w:space="0"/>
                  </w:tcBorders>
                  <w:vAlign w:val="center"/>
                </w:tcPr>
                <w:p w14:paraId="1B1316C1">
                  <w:pPr>
                    <w:numPr>
                      <w:ilvl w:val="0"/>
                      <w:numId w:val="4"/>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冲洗宽度(m)</w:t>
                  </w:r>
                </w:p>
              </w:tc>
              <w:tc>
                <w:tcPr>
                  <w:tcW w:w="3264" w:type="dxa"/>
                  <w:tcBorders>
                    <w:top w:val="single" w:color="auto" w:sz="6" w:space="0"/>
                    <w:left w:val="single" w:color="auto" w:sz="6" w:space="0"/>
                    <w:bottom w:val="single" w:color="auto" w:sz="6" w:space="0"/>
                    <w:right w:val="single" w:color="auto" w:sz="6" w:space="0"/>
                  </w:tcBorders>
                  <w:vAlign w:val="center"/>
                </w:tcPr>
                <w:p w14:paraId="64C90384">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r>
            <w:tr w14:paraId="29CED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3645" w:type="dxa"/>
                  <w:tcBorders>
                    <w:top w:val="single" w:color="auto" w:sz="6" w:space="0"/>
                    <w:left w:val="single" w:color="auto" w:sz="6" w:space="0"/>
                    <w:bottom w:val="single" w:color="auto" w:sz="6" w:space="0"/>
                    <w:right w:val="single" w:color="auto" w:sz="6" w:space="0"/>
                  </w:tcBorders>
                  <w:vAlign w:val="center"/>
                </w:tcPr>
                <w:p w14:paraId="7F5A7405">
                  <w:pPr>
                    <w:numPr>
                      <w:ilvl w:val="0"/>
                      <w:numId w:val="4"/>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喷雾水压力（Mpa）</w:t>
                  </w:r>
                </w:p>
              </w:tc>
              <w:tc>
                <w:tcPr>
                  <w:tcW w:w="3264" w:type="dxa"/>
                  <w:tcBorders>
                    <w:top w:val="single" w:color="auto" w:sz="6" w:space="0"/>
                    <w:left w:val="single" w:color="auto" w:sz="6" w:space="0"/>
                    <w:bottom w:val="single" w:color="auto" w:sz="6" w:space="0"/>
                    <w:right w:val="single" w:color="auto" w:sz="6" w:space="0"/>
                  </w:tcBorders>
                  <w:vAlign w:val="center"/>
                </w:tcPr>
                <w:p w14:paraId="49AFD531">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2BC83E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3645" w:type="dxa"/>
                  <w:tcBorders>
                    <w:top w:val="single" w:color="auto" w:sz="6" w:space="0"/>
                    <w:left w:val="single" w:color="auto" w:sz="6" w:space="0"/>
                    <w:bottom w:val="single" w:color="auto" w:sz="6" w:space="0"/>
                    <w:right w:val="single" w:color="auto" w:sz="6" w:space="0"/>
                  </w:tcBorders>
                  <w:vAlign w:val="center"/>
                </w:tcPr>
                <w:p w14:paraId="4182EC7E">
                  <w:pPr>
                    <w:numPr>
                      <w:ilvl w:val="0"/>
                      <w:numId w:val="4"/>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遥控距离（m）</w:t>
                  </w:r>
                </w:p>
              </w:tc>
              <w:tc>
                <w:tcPr>
                  <w:tcW w:w="3264" w:type="dxa"/>
                  <w:tcBorders>
                    <w:top w:val="single" w:color="auto" w:sz="6" w:space="0"/>
                    <w:left w:val="single" w:color="auto" w:sz="6" w:space="0"/>
                    <w:bottom w:val="single" w:color="auto" w:sz="6" w:space="0"/>
                    <w:right w:val="single" w:color="auto" w:sz="6" w:space="0"/>
                  </w:tcBorders>
                  <w:vAlign w:val="center"/>
                </w:tcPr>
                <w:p w14:paraId="26BE4D37">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w:t>
                  </w:r>
                </w:p>
              </w:tc>
            </w:tr>
            <w:tr w14:paraId="1ECF0C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3645" w:type="dxa"/>
                  <w:tcBorders>
                    <w:top w:val="single" w:color="auto" w:sz="6" w:space="0"/>
                    <w:left w:val="single" w:color="auto" w:sz="6" w:space="0"/>
                    <w:bottom w:val="single" w:color="auto" w:sz="6" w:space="0"/>
                    <w:right w:val="single" w:color="auto" w:sz="6" w:space="0"/>
                  </w:tcBorders>
                  <w:vAlign w:val="center"/>
                </w:tcPr>
                <w:p w14:paraId="1EA11743">
                  <w:pPr>
                    <w:numPr>
                      <w:ilvl w:val="0"/>
                      <w:numId w:val="4"/>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洒水宽度(m)</w:t>
                  </w:r>
                </w:p>
              </w:tc>
              <w:tc>
                <w:tcPr>
                  <w:tcW w:w="3264" w:type="dxa"/>
                  <w:tcBorders>
                    <w:top w:val="single" w:color="auto" w:sz="6" w:space="0"/>
                    <w:left w:val="single" w:color="auto" w:sz="6" w:space="0"/>
                    <w:bottom w:val="single" w:color="auto" w:sz="6" w:space="0"/>
                    <w:right w:val="single" w:color="auto" w:sz="6" w:space="0"/>
                  </w:tcBorders>
                  <w:vAlign w:val="center"/>
                </w:tcPr>
                <w:p w14:paraId="5248E8A5">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r>
            <w:tr w14:paraId="253B1C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3645" w:type="dxa"/>
                  <w:tcBorders>
                    <w:top w:val="single" w:color="auto" w:sz="6" w:space="0"/>
                    <w:left w:val="single" w:color="auto" w:sz="6" w:space="0"/>
                    <w:bottom w:val="single" w:color="auto" w:sz="6" w:space="0"/>
                    <w:right w:val="single" w:color="auto" w:sz="6" w:space="0"/>
                  </w:tcBorders>
                  <w:vAlign w:val="center"/>
                </w:tcPr>
                <w:p w14:paraId="407702B1">
                  <w:pPr>
                    <w:numPr>
                      <w:ilvl w:val="0"/>
                      <w:numId w:val="4"/>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冲洗宽度(m)</w:t>
                  </w:r>
                </w:p>
              </w:tc>
              <w:tc>
                <w:tcPr>
                  <w:tcW w:w="3264" w:type="dxa"/>
                  <w:tcBorders>
                    <w:top w:val="single" w:color="auto" w:sz="6" w:space="0"/>
                    <w:left w:val="single" w:color="auto" w:sz="6" w:space="0"/>
                    <w:bottom w:val="single" w:color="auto" w:sz="6" w:space="0"/>
                    <w:right w:val="single" w:color="auto" w:sz="6" w:space="0"/>
                  </w:tcBorders>
                  <w:vAlign w:val="center"/>
                </w:tcPr>
                <w:p w14:paraId="0A806DE0">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r>
            <w:tr w14:paraId="591305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3645" w:type="dxa"/>
                  <w:tcBorders>
                    <w:top w:val="single" w:color="auto" w:sz="6" w:space="0"/>
                    <w:left w:val="single" w:color="auto" w:sz="6" w:space="0"/>
                    <w:bottom w:val="single" w:color="auto" w:sz="6" w:space="0"/>
                    <w:right w:val="single" w:color="auto" w:sz="6" w:space="0"/>
                  </w:tcBorders>
                  <w:vAlign w:val="center"/>
                </w:tcPr>
                <w:p w14:paraId="5E95FA43">
                  <w:pPr>
                    <w:numPr>
                      <w:ilvl w:val="0"/>
                      <w:numId w:val="4"/>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驾驶室调温措施</w:t>
                  </w:r>
                </w:p>
              </w:tc>
              <w:tc>
                <w:tcPr>
                  <w:tcW w:w="3264" w:type="dxa"/>
                  <w:tcBorders>
                    <w:top w:val="single" w:color="auto" w:sz="6" w:space="0"/>
                    <w:left w:val="single" w:color="auto" w:sz="6" w:space="0"/>
                    <w:bottom w:val="single" w:color="auto" w:sz="6" w:space="0"/>
                    <w:right w:val="single" w:color="auto" w:sz="6" w:space="0"/>
                  </w:tcBorders>
                  <w:vAlign w:val="center"/>
                </w:tcPr>
                <w:p w14:paraId="6986E5AD">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配原厂冷暖空调</w:t>
                  </w:r>
                </w:p>
              </w:tc>
            </w:tr>
          </w:tbl>
          <w:p w14:paraId="7FA2725A">
            <w:pPr>
              <w:spacing w:line="5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二、主要功能要求</w:t>
            </w:r>
          </w:p>
          <w:p w14:paraId="6A84C226">
            <w:pPr>
              <w:spacing w:line="5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低压水泵采用自吸式双级离心泵。</w:t>
            </w:r>
          </w:p>
          <w:p w14:paraId="28C97A3C">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2、采用环保除尘风送式喷雾机，可手动或遥控操纵。通过摄像头在驾驶室内即可进行所有的作业。</w:t>
            </w:r>
          </w:p>
          <w:p w14:paraId="71DF9CAE">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3、喷雾出风口采用内、外双环喷圈结构。喷雾机利用电动马达驱动可左右各90</w:t>
            </w:r>
            <w:r>
              <w:rPr>
                <w:rFonts w:hint="eastAsia" w:ascii="宋体" w:hAnsi="宋体" w:eastAsia="宋体" w:cs="宋体"/>
                <w:color w:val="auto"/>
                <w:sz w:val="21"/>
                <w:szCs w:val="21"/>
                <w:highlight w:val="none"/>
                <w:vertAlign w:val="superscript"/>
              </w:rPr>
              <w:t>o</w:t>
            </w:r>
            <w:r>
              <w:rPr>
                <w:rFonts w:hint="eastAsia" w:ascii="宋体" w:hAnsi="宋体" w:eastAsia="宋体" w:cs="宋体"/>
                <w:color w:val="auto"/>
                <w:sz w:val="21"/>
                <w:szCs w:val="21"/>
                <w:highlight w:val="none"/>
              </w:rPr>
              <w:t>旋转，利用液压系统控制俯仰角可达-10</w:t>
            </w:r>
            <w:r>
              <w:rPr>
                <w:rFonts w:hint="eastAsia" w:ascii="宋体" w:hAnsi="宋体" w:eastAsia="宋体" w:cs="宋体"/>
                <w:color w:val="auto"/>
                <w:sz w:val="21"/>
                <w:szCs w:val="21"/>
                <w:highlight w:val="none"/>
                <w:vertAlign w:val="superscript"/>
              </w:rPr>
              <w:t>o</w:t>
            </w:r>
            <w:r>
              <w:rPr>
                <w:rFonts w:hint="eastAsia" w:ascii="宋体" w:hAnsi="宋体" w:eastAsia="宋体" w:cs="宋体"/>
                <w:color w:val="auto"/>
                <w:sz w:val="21"/>
                <w:szCs w:val="21"/>
                <w:highlight w:val="none"/>
              </w:rPr>
              <w:t>～60</w:t>
            </w:r>
            <w:r>
              <w:rPr>
                <w:rFonts w:hint="eastAsia" w:ascii="宋体" w:hAnsi="宋体" w:eastAsia="宋体" w:cs="宋体"/>
                <w:color w:val="auto"/>
                <w:sz w:val="21"/>
                <w:szCs w:val="21"/>
                <w:highlight w:val="none"/>
                <w:vertAlign w:val="superscript"/>
              </w:rPr>
              <w:t>o</w:t>
            </w:r>
            <w:r>
              <w:rPr>
                <w:rFonts w:hint="eastAsia" w:ascii="宋体" w:hAnsi="宋体" w:eastAsia="宋体" w:cs="宋体"/>
                <w:color w:val="auto"/>
                <w:sz w:val="21"/>
                <w:szCs w:val="21"/>
                <w:highlight w:val="none"/>
              </w:rPr>
              <w:t>。</w:t>
            </w:r>
          </w:p>
          <w:p w14:paraId="0951927A">
            <w:pPr>
              <w:spacing w:line="500" w:lineRule="exac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4、</w:t>
            </w:r>
            <w:r>
              <w:rPr>
                <w:rFonts w:hint="eastAsia" w:ascii="宋体" w:hAnsi="宋体" w:eastAsia="宋体" w:cs="宋体"/>
                <w:color w:val="auto"/>
                <w:sz w:val="21"/>
                <w:szCs w:val="21"/>
                <w:highlight w:val="none"/>
              </w:rPr>
              <w:t>中部柱状冲洗装置有圆锥喷嘴左右各一个，双向冲洗，通过调整两个连接法兰角度，可任意调节喷嘴角度，喷嘴可左右360，上下360任意调整，中对冲可一次冲洗宽度不小于24米。</w:t>
            </w:r>
          </w:p>
          <w:p w14:paraId="5BC968AB">
            <w:pPr>
              <w:spacing w:line="5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5、采用高精度水过滤器，避免喷嘴堵塞。</w:t>
            </w:r>
          </w:p>
          <w:p w14:paraId="20DCD083">
            <w:pPr>
              <w:spacing w:line="5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6、风筒采用双壁消音技术，降低风筒作业噪声。</w:t>
            </w:r>
          </w:p>
          <w:p w14:paraId="293B4233">
            <w:pPr>
              <w:spacing w:line="5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7、水罐内部采用环氧煤沥青漆专业防腐涂层，保证防腐效果。</w:t>
            </w:r>
          </w:p>
          <w:p w14:paraId="0923F83D">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8、</w:t>
            </w:r>
            <w:r>
              <w:rPr>
                <w:rFonts w:hint="eastAsia" w:ascii="宋体" w:hAnsi="宋体" w:eastAsia="宋体" w:cs="宋体"/>
                <w:color w:val="auto"/>
                <w:sz w:val="21"/>
                <w:szCs w:val="21"/>
                <w:highlight w:val="none"/>
              </w:rPr>
              <w:t>水泵、管路、水阀均设有放水排干功能，避免产品在低温环境下冻裂损坏。</w:t>
            </w:r>
          </w:p>
          <w:p w14:paraId="2E4A2A1A">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9、罐体内部采用防波板缓冲结构设计。</w:t>
            </w:r>
          </w:p>
          <w:p w14:paraId="47026594">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10、雾炮需采用单级叶轮结构，雾炮的叶片须采用钢制。</w:t>
            </w:r>
          </w:p>
          <w:p w14:paraId="648903AE">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11、喷雾系统需具有风机系统和供水系统两个部分，风机系统采用电机驱动，水泵通过皮带传动。</w:t>
            </w:r>
          </w:p>
          <w:p w14:paraId="4E6A1979">
            <w:pPr>
              <w:spacing w:line="500" w:lineRule="exac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12、采用双水泵设计，两水泵分别采用叶轮泵和柱塞泵，其中一个水泵负责洒水、冲洗，另一个水泵专供风炮作业。</w:t>
            </w:r>
          </w:p>
        </w:tc>
        <w:tc>
          <w:tcPr>
            <w:tcW w:w="1797" w:type="dxa"/>
            <w:tcBorders>
              <w:top w:val="single" w:color="000000" w:sz="4" w:space="0"/>
              <w:left w:val="nil"/>
              <w:bottom w:val="single" w:color="000000" w:sz="4" w:space="0"/>
              <w:right w:val="single" w:color="000000" w:sz="4" w:space="0"/>
            </w:tcBorders>
            <w:shd w:val="clear" w:color="auto" w:fill="auto"/>
            <w:vAlign w:val="center"/>
          </w:tcPr>
          <w:p w14:paraId="3B7F82C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新能源车辆，包含牌照，一年保险（全险及商业三责险),车辆管理系统（车载北斗系统）</w:t>
            </w:r>
          </w:p>
        </w:tc>
      </w:tr>
      <w:tr w14:paraId="6F234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3"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E1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DD8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25吨洒水车</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29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辆</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90F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73C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3F0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7500" w:type="dxa"/>
            <w:tcBorders>
              <w:top w:val="single" w:color="000000" w:sz="4" w:space="0"/>
              <w:left w:val="nil"/>
              <w:bottom w:val="single" w:color="000000" w:sz="4" w:space="0"/>
              <w:right w:val="single" w:color="000000" w:sz="4" w:space="0"/>
            </w:tcBorders>
            <w:shd w:val="clear" w:color="auto" w:fill="auto"/>
            <w:vAlign w:val="center"/>
          </w:tcPr>
          <w:tbl>
            <w:tblPr>
              <w:tblStyle w:val="16"/>
              <w:tblW w:w="6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637"/>
              <w:gridCol w:w="3122"/>
            </w:tblGrid>
            <w:tr w14:paraId="038D6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81" w:hRule="atLeast"/>
                <w:jc w:val="center"/>
              </w:trPr>
              <w:tc>
                <w:tcPr>
                  <w:tcW w:w="3637" w:type="dxa"/>
                  <w:tcBorders>
                    <w:top w:val="single" w:color="auto" w:sz="4" w:space="0"/>
                    <w:left w:val="single" w:color="auto" w:sz="4" w:space="0"/>
                    <w:bottom w:val="single" w:color="auto" w:sz="4" w:space="0"/>
                    <w:right w:val="single" w:color="auto" w:sz="4" w:space="0"/>
                  </w:tcBorders>
                  <w:noWrap w:val="0"/>
                  <w:vAlign w:val="center"/>
                </w:tcPr>
                <w:p w14:paraId="1DA89F77">
                  <w:pPr>
                    <w:spacing w:line="48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序号、</w:t>
                  </w:r>
                  <w:r>
                    <w:rPr>
                      <w:rFonts w:hint="eastAsia" w:ascii="宋体" w:hAnsi="宋体" w:eastAsia="宋体" w:cs="宋体"/>
                      <w:color w:val="auto"/>
                      <w:sz w:val="21"/>
                      <w:szCs w:val="21"/>
                      <w:highlight w:val="none"/>
                    </w:rPr>
                    <w:t>项目</w:t>
                  </w:r>
                </w:p>
              </w:tc>
              <w:tc>
                <w:tcPr>
                  <w:tcW w:w="3122" w:type="dxa"/>
                  <w:tcBorders>
                    <w:top w:val="single" w:color="auto" w:sz="4" w:space="0"/>
                    <w:left w:val="single" w:color="auto" w:sz="4" w:space="0"/>
                    <w:bottom w:val="single" w:color="auto" w:sz="4" w:space="0"/>
                    <w:right w:val="single" w:color="auto" w:sz="4" w:space="0"/>
                  </w:tcBorders>
                  <w:noWrap w:val="0"/>
                  <w:vAlign w:val="center"/>
                </w:tcPr>
                <w:p w14:paraId="1B01FD7E">
                  <w:pPr>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参数</w:t>
                  </w:r>
                </w:p>
              </w:tc>
            </w:tr>
            <w:tr w14:paraId="7B519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01" w:hRule="atLeast"/>
                <w:jc w:val="center"/>
              </w:trPr>
              <w:tc>
                <w:tcPr>
                  <w:tcW w:w="3637" w:type="dxa"/>
                  <w:tcBorders>
                    <w:top w:val="single" w:color="auto" w:sz="4" w:space="0"/>
                    <w:left w:val="single" w:color="auto" w:sz="4" w:space="0"/>
                    <w:bottom w:val="single" w:color="auto" w:sz="4" w:space="0"/>
                    <w:right w:val="single" w:color="auto" w:sz="4" w:space="0"/>
                  </w:tcBorders>
                  <w:noWrap w:val="0"/>
                  <w:vAlign w:val="center"/>
                </w:tcPr>
                <w:p w14:paraId="71999B27">
                  <w:pPr>
                    <w:numPr>
                      <w:ilvl w:val="0"/>
                      <w:numId w:val="5"/>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底盘类别</w:t>
                  </w:r>
                </w:p>
              </w:tc>
              <w:tc>
                <w:tcPr>
                  <w:tcW w:w="3122" w:type="dxa"/>
                  <w:tcBorders>
                    <w:top w:val="single" w:color="auto" w:sz="4" w:space="0"/>
                    <w:left w:val="single" w:color="auto" w:sz="4" w:space="0"/>
                    <w:bottom w:val="single" w:color="auto" w:sz="4" w:space="0"/>
                    <w:right w:val="single" w:color="auto" w:sz="4" w:space="0"/>
                  </w:tcBorders>
                  <w:noWrap w:val="0"/>
                  <w:vAlign w:val="center"/>
                </w:tcPr>
                <w:p w14:paraId="4A49E55A">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二类载货汽车底盘</w:t>
                  </w:r>
                </w:p>
              </w:tc>
            </w:tr>
            <w:tr w14:paraId="037D2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81" w:hRule="atLeast"/>
                <w:jc w:val="center"/>
              </w:trPr>
              <w:tc>
                <w:tcPr>
                  <w:tcW w:w="3637" w:type="dxa"/>
                  <w:tcBorders>
                    <w:top w:val="single" w:color="auto" w:sz="4" w:space="0"/>
                    <w:left w:val="single" w:color="auto" w:sz="4" w:space="0"/>
                    <w:bottom w:val="single" w:color="auto" w:sz="4" w:space="0"/>
                    <w:right w:val="single" w:color="auto" w:sz="4" w:space="0"/>
                  </w:tcBorders>
                  <w:noWrap w:val="0"/>
                  <w:vAlign w:val="center"/>
                </w:tcPr>
                <w:p w14:paraId="018CD278">
                  <w:pPr>
                    <w:numPr>
                      <w:ilvl w:val="0"/>
                      <w:numId w:val="5"/>
                    </w:numPr>
                    <w:spacing w:line="480" w:lineRule="exact"/>
                    <w:ind w:left="0" w:leftChars="0" w:firstLine="40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底盘驱动电机峰值功率（kW）</w:t>
                  </w:r>
                </w:p>
              </w:tc>
              <w:tc>
                <w:tcPr>
                  <w:tcW w:w="3122" w:type="dxa"/>
                  <w:tcBorders>
                    <w:top w:val="single" w:color="auto" w:sz="4" w:space="0"/>
                    <w:left w:val="single" w:color="auto" w:sz="4" w:space="0"/>
                    <w:bottom w:val="single" w:color="auto" w:sz="4" w:space="0"/>
                    <w:right w:val="single" w:color="auto" w:sz="4" w:space="0"/>
                  </w:tcBorders>
                  <w:noWrap w:val="0"/>
                  <w:vAlign w:val="center"/>
                </w:tcPr>
                <w:p w14:paraId="5D927C5A">
                  <w:pPr>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≥360</w:t>
                  </w:r>
                </w:p>
              </w:tc>
            </w:tr>
            <w:tr w14:paraId="544D4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81" w:hRule="atLeast"/>
                <w:jc w:val="center"/>
              </w:trPr>
              <w:tc>
                <w:tcPr>
                  <w:tcW w:w="3637" w:type="dxa"/>
                  <w:tcBorders>
                    <w:top w:val="single" w:color="auto" w:sz="4" w:space="0"/>
                    <w:left w:val="single" w:color="auto" w:sz="4" w:space="0"/>
                    <w:bottom w:val="single" w:color="auto" w:sz="4" w:space="0"/>
                    <w:right w:val="single" w:color="auto" w:sz="4" w:space="0"/>
                  </w:tcBorders>
                  <w:noWrap w:val="0"/>
                  <w:vAlign w:val="center"/>
                </w:tcPr>
                <w:p w14:paraId="2B59D317">
                  <w:pPr>
                    <w:numPr>
                      <w:ilvl w:val="0"/>
                      <w:numId w:val="5"/>
                    </w:numPr>
                    <w:spacing w:line="480" w:lineRule="exact"/>
                    <w:ind w:left="0" w:leftChars="0" w:firstLine="40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储能装置总储电量（kWh）</w:t>
                  </w:r>
                </w:p>
              </w:tc>
              <w:tc>
                <w:tcPr>
                  <w:tcW w:w="3122" w:type="dxa"/>
                  <w:tcBorders>
                    <w:top w:val="single" w:color="auto" w:sz="4" w:space="0"/>
                    <w:left w:val="single" w:color="auto" w:sz="4" w:space="0"/>
                    <w:bottom w:val="single" w:color="auto" w:sz="4" w:space="0"/>
                    <w:right w:val="single" w:color="auto" w:sz="4" w:space="0"/>
                  </w:tcBorders>
                  <w:noWrap w:val="0"/>
                  <w:vAlign w:val="center"/>
                </w:tcPr>
                <w:p w14:paraId="1938E277">
                  <w:pPr>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≥240</w:t>
                  </w:r>
                </w:p>
              </w:tc>
            </w:tr>
            <w:tr w14:paraId="3F732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81" w:hRule="atLeast"/>
                <w:jc w:val="center"/>
              </w:trPr>
              <w:tc>
                <w:tcPr>
                  <w:tcW w:w="3637" w:type="dxa"/>
                  <w:tcBorders>
                    <w:top w:val="single" w:color="auto" w:sz="4" w:space="0"/>
                    <w:left w:val="single" w:color="auto" w:sz="4" w:space="0"/>
                    <w:bottom w:val="single" w:color="auto" w:sz="4" w:space="0"/>
                    <w:right w:val="single" w:color="auto" w:sz="4" w:space="0"/>
                  </w:tcBorders>
                  <w:noWrap w:val="0"/>
                  <w:vAlign w:val="center"/>
                </w:tcPr>
                <w:p w14:paraId="327AFC15">
                  <w:pPr>
                    <w:numPr>
                      <w:ilvl w:val="0"/>
                      <w:numId w:val="5"/>
                    </w:numPr>
                    <w:spacing w:line="480" w:lineRule="exact"/>
                    <w:ind w:left="0" w:leftChars="0" w:firstLine="40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续驶里程（等速法，km）</w:t>
                  </w:r>
                </w:p>
              </w:tc>
              <w:tc>
                <w:tcPr>
                  <w:tcW w:w="3122" w:type="dxa"/>
                  <w:tcBorders>
                    <w:top w:val="single" w:color="auto" w:sz="4" w:space="0"/>
                    <w:left w:val="single" w:color="auto" w:sz="4" w:space="0"/>
                    <w:bottom w:val="single" w:color="auto" w:sz="4" w:space="0"/>
                    <w:right w:val="single" w:color="auto" w:sz="4" w:space="0"/>
                  </w:tcBorders>
                  <w:noWrap w:val="0"/>
                  <w:vAlign w:val="center"/>
                </w:tcPr>
                <w:p w14:paraId="597202A6">
                  <w:pPr>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≥240</w:t>
                  </w:r>
                </w:p>
              </w:tc>
            </w:tr>
            <w:tr w14:paraId="570F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81" w:hRule="atLeast"/>
                <w:jc w:val="center"/>
              </w:trPr>
              <w:tc>
                <w:tcPr>
                  <w:tcW w:w="3637" w:type="dxa"/>
                  <w:tcBorders>
                    <w:top w:val="single" w:color="auto" w:sz="4" w:space="0"/>
                    <w:left w:val="single" w:color="auto" w:sz="4" w:space="0"/>
                    <w:bottom w:val="single" w:color="auto" w:sz="4" w:space="0"/>
                    <w:right w:val="single" w:color="auto" w:sz="4" w:space="0"/>
                  </w:tcBorders>
                  <w:noWrap w:val="0"/>
                  <w:vAlign w:val="center"/>
                </w:tcPr>
                <w:p w14:paraId="55918ABE">
                  <w:pPr>
                    <w:numPr>
                      <w:ilvl w:val="0"/>
                      <w:numId w:val="5"/>
                    </w:numPr>
                    <w:spacing w:line="480" w:lineRule="exact"/>
                    <w:ind w:left="0" w:leftChars="0" w:firstLine="40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动力电池系统能量密度（W·h/kg）</w:t>
                  </w:r>
                </w:p>
              </w:tc>
              <w:tc>
                <w:tcPr>
                  <w:tcW w:w="3122" w:type="dxa"/>
                  <w:tcBorders>
                    <w:top w:val="single" w:color="auto" w:sz="4" w:space="0"/>
                    <w:left w:val="single" w:color="auto" w:sz="4" w:space="0"/>
                    <w:bottom w:val="single" w:color="auto" w:sz="4" w:space="0"/>
                    <w:right w:val="single" w:color="auto" w:sz="4" w:space="0"/>
                  </w:tcBorders>
                  <w:noWrap w:val="0"/>
                  <w:vAlign w:val="center"/>
                </w:tcPr>
                <w:p w14:paraId="6CD19BB4">
                  <w:pPr>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≥120</w:t>
                  </w:r>
                </w:p>
              </w:tc>
            </w:tr>
            <w:tr w14:paraId="2C156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81" w:hRule="atLeast"/>
                <w:jc w:val="center"/>
              </w:trPr>
              <w:tc>
                <w:tcPr>
                  <w:tcW w:w="3637" w:type="dxa"/>
                  <w:tcBorders>
                    <w:top w:val="single" w:color="auto" w:sz="4" w:space="0"/>
                    <w:left w:val="single" w:color="auto" w:sz="4" w:space="0"/>
                    <w:bottom w:val="single" w:color="auto" w:sz="4" w:space="0"/>
                    <w:right w:val="single" w:color="auto" w:sz="4" w:space="0"/>
                  </w:tcBorders>
                  <w:noWrap w:val="0"/>
                  <w:vAlign w:val="center"/>
                </w:tcPr>
                <w:p w14:paraId="24B11A50">
                  <w:pPr>
                    <w:numPr>
                      <w:ilvl w:val="0"/>
                      <w:numId w:val="5"/>
                    </w:numPr>
                    <w:spacing w:line="480" w:lineRule="exact"/>
                    <w:ind w:left="0" w:leftChars="0" w:firstLine="40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电源电池种类</w:t>
                  </w:r>
                </w:p>
              </w:tc>
              <w:tc>
                <w:tcPr>
                  <w:tcW w:w="3122" w:type="dxa"/>
                  <w:tcBorders>
                    <w:top w:val="single" w:color="auto" w:sz="4" w:space="0"/>
                    <w:left w:val="single" w:color="auto" w:sz="4" w:space="0"/>
                    <w:bottom w:val="single" w:color="auto" w:sz="4" w:space="0"/>
                    <w:right w:val="single" w:color="auto" w:sz="4" w:space="0"/>
                  </w:tcBorders>
                  <w:noWrap w:val="0"/>
                  <w:vAlign w:val="center"/>
                </w:tcPr>
                <w:p w14:paraId="3E27AE70">
                  <w:pPr>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磷酸铁锂蓄电池或优于</w:t>
                  </w:r>
                </w:p>
              </w:tc>
            </w:tr>
            <w:tr w14:paraId="4FF1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81" w:hRule="atLeast"/>
                <w:jc w:val="center"/>
              </w:trPr>
              <w:tc>
                <w:tcPr>
                  <w:tcW w:w="3637" w:type="dxa"/>
                  <w:tcBorders>
                    <w:top w:val="single" w:color="auto" w:sz="4" w:space="0"/>
                    <w:left w:val="single" w:color="auto" w:sz="4" w:space="0"/>
                    <w:bottom w:val="single" w:color="auto" w:sz="4" w:space="0"/>
                    <w:right w:val="single" w:color="auto" w:sz="4" w:space="0"/>
                  </w:tcBorders>
                  <w:noWrap w:val="0"/>
                  <w:vAlign w:val="center"/>
                </w:tcPr>
                <w:p w14:paraId="6C100817">
                  <w:pPr>
                    <w:numPr>
                      <w:ilvl w:val="0"/>
                      <w:numId w:val="5"/>
                    </w:numPr>
                    <w:spacing w:line="480" w:lineRule="exact"/>
                    <w:ind w:left="0" w:leftChars="0" w:firstLine="40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总质量(kg)</w:t>
                  </w:r>
                </w:p>
              </w:tc>
              <w:tc>
                <w:tcPr>
                  <w:tcW w:w="3122" w:type="dxa"/>
                  <w:tcBorders>
                    <w:top w:val="single" w:color="auto" w:sz="4" w:space="0"/>
                    <w:left w:val="single" w:color="auto" w:sz="4" w:space="0"/>
                    <w:bottom w:val="single" w:color="auto" w:sz="4" w:space="0"/>
                    <w:right w:val="single" w:color="auto" w:sz="4" w:space="0"/>
                  </w:tcBorders>
                  <w:noWrap w:val="0"/>
                  <w:vAlign w:val="center"/>
                </w:tcPr>
                <w:p w14:paraId="542C202C">
                  <w:pPr>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25000（±500）</w:t>
                  </w:r>
                </w:p>
              </w:tc>
            </w:tr>
            <w:tr w14:paraId="5EFBA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81" w:hRule="atLeast"/>
                <w:jc w:val="center"/>
              </w:trPr>
              <w:tc>
                <w:tcPr>
                  <w:tcW w:w="3637" w:type="dxa"/>
                  <w:tcBorders>
                    <w:top w:val="single" w:color="auto" w:sz="4" w:space="0"/>
                    <w:left w:val="single" w:color="auto" w:sz="4" w:space="0"/>
                    <w:bottom w:val="single" w:color="auto" w:sz="4" w:space="0"/>
                    <w:right w:val="single" w:color="auto" w:sz="4" w:space="0"/>
                  </w:tcBorders>
                  <w:noWrap w:val="0"/>
                  <w:vAlign w:val="center"/>
                </w:tcPr>
                <w:p w14:paraId="59350D71">
                  <w:pPr>
                    <w:numPr>
                      <w:ilvl w:val="0"/>
                      <w:numId w:val="5"/>
                    </w:numPr>
                    <w:spacing w:line="480" w:lineRule="exact"/>
                    <w:ind w:left="0" w:leftChars="0" w:firstLine="400" w:firstLineChars="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整备质量（kg）</w:t>
                  </w:r>
                </w:p>
              </w:tc>
              <w:tc>
                <w:tcPr>
                  <w:tcW w:w="3122" w:type="dxa"/>
                  <w:tcBorders>
                    <w:top w:val="single" w:color="auto" w:sz="4" w:space="0"/>
                    <w:left w:val="single" w:color="auto" w:sz="4" w:space="0"/>
                    <w:bottom w:val="single" w:color="auto" w:sz="4" w:space="0"/>
                    <w:right w:val="single" w:color="auto" w:sz="4" w:space="0"/>
                  </w:tcBorders>
                  <w:noWrap w:val="0"/>
                  <w:vAlign w:val="center"/>
                </w:tcPr>
                <w:p w14:paraId="0972643C">
                  <w:pPr>
                    <w:spacing w:line="480" w:lineRule="exact"/>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≥11100</w:t>
                  </w:r>
                </w:p>
              </w:tc>
            </w:tr>
            <w:tr w14:paraId="7E25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81" w:hRule="atLeast"/>
                <w:jc w:val="center"/>
              </w:trPr>
              <w:tc>
                <w:tcPr>
                  <w:tcW w:w="3637" w:type="dxa"/>
                  <w:tcBorders>
                    <w:top w:val="single" w:color="auto" w:sz="4" w:space="0"/>
                    <w:left w:val="single" w:color="auto" w:sz="4" w:space="0"/>
                    <w:bottom w:val="single" w:color="auto" w:sz="4" w:space="0"/>
                    <w:right w:val="single" w:color="auto" w:sz="4" w:space="0"/>
                  </w:tcBorders>
                  <w:noWrap w:val="0"/>
                  <w:vAlign w:val="center"/>
                </w:tcPr>
                <w:p w14:paraId="3ED08229">
                  <w:pPr>
                    <w:numPr>
                      <w:ilvl w:val="0"/>
                      <w:numId w:val="5"/>
                    </w:numPr>
                    <w:spacing w:line="480" w:lineRule="exact"/>
                    <w:ind w:left="0" w:leftChars="0" w:firstLine="40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额定载质量(kg)</w:t>
                  </w:r>
                </w:p>
              </w:tc>
              <w:tc>
                <w:tcPr>
                  <w:tcW w:w="3122" w:type="dxa"/>
                  <w:tcBorders>
                    <w:top w:val="single" w:color="auto" w:sz="4" w:space="0"/>
                    <w:left w:val="single" w:color="auto" w:sz="4" w:space="0"/>
                    <w:bottom w:val="single" w:color="auto" w:sz="4" w:space="0"/>
                    <w:right w:val="single" w:color="auto" w:sz="4" w:space="0"/>
                  </w:tcBorders>
                  <w:noWrap w:val="0"/>
                  <w:vAlign w:val="center"/>
                </w:tcPr>
                <w:p w14:paraId="6DA4424F">
                  <w:pPr>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≥13300</w:t>
                  </w:r>
                </w:p>
              </w:tc>
            </w:tr>
            <w:tr w14:paraId="277C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81" w:hRule="atLeast"/>
                <w:jc w:val="center"/>
              </w:trPr>
              <w:tc>
                <w:tcPr>
                  <w:tcW w:w="3637" w:type="dxa"/>
                  <w:tcBorders>
                    <w:top w:val="single" w:color="auto" w:sz="4" w:space="0"/>
                    <w:left w:val="single" w:color="auto" w:sz="4" w:space="0"/>
                    <w:bottom w:val="single" w:color="auto" w:sz="4" w:space="0"/>
                    <w:right w:val="single" w:color="auto" w:sz="4" w:space="0"/>
                  </w:tcBorders>
                  <w:noWrap w:val="0"/>
                  <w:vAlign w:val="center"/>
                </w:tcPr>
                <w:p w14:paraId="4C2BC140">
                  <w:pPr>
                    <w:numPr>
                      <w:ilvl w:val="0"/>
                      <w:numId w:val="5"/>
                    </w:numPr>
                    <w:spacing w:line="480" w:lineRule="exact"/>
                    <w:ind w:left="0" w:leftChars="0" w:firstLine="40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外形尺寸长×宽×高(mm)</w:t>
                  </w:r>
                </w:p>
              </w:tc>
              <w:tc>
                <w:tcPr>
                  <w:tcW w:w="3122" w:type="dxa"/>
                  <w:tcBorders>
                    <w:top w:val="single" w:color="auto" w:sz="4" w:space="0"/>
                    <w:left w:val="single" w:color="auto" w:sz="4" w:space="0"/>
                    <w:bottom w:val="single" w:color="auto" w:sz="4" w:space="0"/>
                    <w:right w:val="single" w:color="auto" w:sz="4" w:space="0"/>
                  </w:tcBorders>
                  <w:noWrap w:val="0"/>
                  <w:vAlign w:val="center"/>
                </w:tcPr>
                <w:p w14:paraId="0F052F18">
                  <w:pPr>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35</w:t>
                  </w:r>
                  <w:r>
                    <w:rPr>
                      <w:rFonts w:hint="eastAsia" w:ascii="宋体" w:hAnsi="宋体" w:eastAsia="宋体" w:cs="宋体"/>
                      <w:color w:val="auto"/>
                      <w:sz w:val="21"/>
                      <w:szCs w:val="21"/>
                      <w:highlight w:val="none"/>
                    </w:rPr>
                    <w:t>0×25</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0×2700</w:t>
                  </w:r>
                </w:p>
              </w:tc>
            </w:tr>
            <w:tr w14:paraId="42EF9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81" w:hRule="atLeast"/>
                <w:jc w:val="center"/>
              </w:trPr>
              <w:tc>
                <w:tcPr>
                  <w:tcW w:w="3637" w:type="dxa"/>
                  <w:tcBorders>
                    <w:top w:val="single" w:color="auto" w:sz="4" w:space="0"/>
                    <w:left w:val="single" w:color="auto" w:sz="4" w:space="0"/>
                    <w:bottom w:val="single" w:color="auto" w:sz="4" w:space="0"/>
                    <w:right w:val="single" w:color="auto" w:sz="4" w:space="0"/>
                  </w:tcBorders>
                  <w:noWrap w:val="0"/>
                  <w:vAlign w:val="center"/>
                </w:tcPr>
                <w:p w14:paraId="738DF18F">
                  <w:pPr>
                    <w:numPr>
                      <w:ilvl w:val="0"/>
                      <w:numId w:val="5"/>
                    </w:numPr>
                    <w:spacing w:line="480" w:lineRule="exact"/>
                    <w:ind w:left="0" w:leftChars="0" w:firstLine="40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最高车速(km/h)</w:t>
                  </w:r>
                </w:p>
              </w:tc>
              <w:tc>
                <w:tcPr>
                  <w:tcW w:w="3122" w:type="dxa"/>
                  <w:tcBorders>
                    <w:top w:val="single" w:color="auto" w:sz="4" w:space="0"/>
                    <w:left w:val="single" w:color="auto" w:sz="4" w:space="0"/>
                    <w:bottom w:val="single" w:color="auto" w:sz="4" w:space="0"/>
                    <w:right w:val="single" w:color="auto" w:sz="4" w:space="0"/>
                  </w:tcBorders>
                  <w:noWrap w:val="0"/>
                  <w:vAlign w:val="center"/>
                </w:tcPr>
                <w:p w14:paraId="31744FC7">
                  <w:pPr>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≥80</w:t>
                  </w:r>
                </w:p>
              </w:tc>
            </w:tr>
            <w:tr w14:paraId="76CD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81" w:hRule="atLeast"/>
                <w:jc w:val="center"/>
              </w:trPr>
              <w:tc>
                <w:tcPr>
                  <w:tcW w:w="3637" w:type="dxa"/>
                  <w:tcBorders>
                    <w:top w:val="single" w:color="auto" w:sz="4" w:space="0"/>
                    <w:left w:val="single" w:color="auto" w:sz="4" w:space="0"/>
                    <w:bottom w:val="single" w:color="auto" w:sz="4" w:space="0"/>
                    <w:right w:val="single" w:color="auto" w:sz="4" w:space="0"/>
                  </w:tcBorders>
                  <w:noWrap w:val="0"/>
                  <w:vAlign w:val="center"/>
                </w:tcPr>
                <w:p w14:paraId="1589FF86">
                  <w:pPr>
                    <w:numPr>
                      <w:ilvl w:val="0"/>
                      <w:numId w:val="5"/>
                    </w:numPr>
                    <w:spacing w:line="480" w:lineRule="exact"/>
                    <w:ind w:left="0" w:leftChars="0" w:firstLine="40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罐体有效容积（m³）</w:t>
                  </w:r>
                </w:p>
              </w:tc>
              <w:tc>
                <w:tcPr>
                  <w:tcW w:w="3122" w:type="dxa"/>
                  <w:tcBorders>
                    <w:top w:val="single" w:color="auto" w:sz="4" w:space="0"/>
                    <w:left w:val="single" w:color="auto" w:sz="4" w:space="0"/>
                    <w:bottom w:val="single" w:color="auto" w:sz="4" w:space="0"/>
                    <w:right w:val="single" w:color="auto" w:sz="4" w:space="0"/>
                  </w:tcBorders>
                  <w:noWrap w:val="0"/>
                  <w:vAlign w:val="center"/>
                </w:tcPr>
                <w:p w14:paraId="1E4013AB">
                  <w:pPr>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r>
            <w:tr w14:paraId="4531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01" w:hRule="atLeast"/>
                <w:jc w:val="center"/>
              </w:trPr>
              <w:tc>
                <w:tcPr>
                  <w:tcW w:w="3637" w:type="dxa"/>
                  <w:tcBorders>
                    <w:top w:val="single" w:color="auto" w:sz="4" w:space="0"/>
                    <w:left w:val="single" w:color="auto" w:sz="4" w:space="0"/>
                    <w:bottom w:val="single" w:color="auto" w:sz="4" w:space="0"/>
                    <w:right w:val="single" w:color="auto" w:sz="4" w:space="0"/>
                  </w:tcBorders>
                  <w:noWrap w:val="0"/>
                  <w:vAlign w:val="center"/>
                </w:tcPr>
                <w:p w14:paraId="66BC3CC8">
                  <w:pPr>
                    <w:widowControl/>
                    <w:numPr>
                      <w:ilvl w:val="0"/>
                      <w:numId w:val="5"/>
                    </w:numPr>
                    <w:suppressAutoHyphens/>
                    <w:spacing w:line="500" w:lineRule="exact"/>
                    <w:ind w:left="0" w:leftChars="0" w:firstLine="40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冲洗宽度（m）</w:t>
                  </w:r>
                </w:p>
              </w:tc>
              <w:tc>
                <w:tcPr>
                  <w:tcW w:w="3122" w:type="dxa"/>
                  <w:tcBorders>
                    <w:top w:val="single" w:color="auto" w:sz="4" w:space="0"/>
                    <w:left w:val="single" w:color="auto" w:sz="4" w:space="0"/>
                    <w:bottom w:val="single" w:color="auto" w:sz="4" w:space="0"/>
                    <w:right w:val="single" w:color="auto" w:sz="4" w:space="0"/>
                  </w:tcBorders>
                  <w:noWrap w:val="0"/>
                  <w:vAlign w:val="center"/>
                </w:tcPr>
                <w:p w14:paraId="0AA2685F">
                  <w:pPr>
                    <w:widowControl/>
                    <w:suppressAutoHyphens/>
                    <w:spacing w:line="5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w:t>
                  </w:r>
                </w:p>
              </w:tc>
            </w:tr>
            <w:tr w14:paraId="2A2C7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01" w:hRule="atLeast"/>
                <w:jc w:val="center"/>
              </w:trPr>
              <w:tc>
                <w:tcPr>
                  <w:tcW w:w="3637" w:type="dxa"/>
                  <w:tcBorders>
                    <w:top w:val="single" w:color="auto" w:sz="4" w:space="0"/>
                    <w:left w:val="single" w:color="auto" w:sz="4" w:space="0"/>
                    <w:bottom w:val="single" w:color="auto" w:sz="4" w:space="0"/>
                    <w:right w:val="single" w:color="auto" w:sz="4" w:space="0"/>
                  </w:tcBorders>
                  <w:noWrap w:val="0"/>
                  <w:vAlign w:val="center"/>
                </w:tcPr>
                <w:p w14:paraId="4C89FCDA">
                  <w:pPr>
                    <w:widowControl/>
                    <w:numPr>
                      <w:ilvl w:val="0"/>
                      <w:numId w:val="5"/>
                    </w:numPr>
                    <w:suppressAutoHyphens/>
                    <w:spacing w:line="500" w:lineRule="exact"/>
                    <w:ind w:left="0" w:leftChars="0" w:firstLine="40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洒水宽度（m）</w:t>
                  </w:r>
                </w:p>
              </w:tc>
              <w:tc>
                <w:tcPr>
                  <w:tcW w:w="3122" w:type="dxa"/>
                  <w:tcBorders>
                    <w:top w:val="single" w:color="auto" w:sz="4" w:space="0"/>
                    <w:left w:val="single" w:color="auto" w:sz="4" w:space="0"/>
                    <w:bottom w:val="single" w:color="auto" w:sz="4" w:space="0"/>
                    <w:right w:val="single" w:color="auto" w:sz="4" w:space="0"/>
                  </w:tcBorders>
                  <w:noWrap w:val="0"/>
                  <w:vAlign w:val="center"/>
                </w:tcPr>
                <w:p w14:paraId="390D1189">
                  <w:pPr>
                    <w:widowControl/>
                    <w:suppressAutoHyphens/>
                    <w:spacing w:line="5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w:t>
                  </w:r>
                </w:p>
              </w:tc>
            </w:tr>
            <w:tr w14:paraId="433F7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01" w:hRule="atLeast"/>
                <w:jc w:val="center"/>
              </w:trPr>
              <w:tc>
                <w:tcPr>
                  <w:tcW w:w="3637" w:type="dxa"/>
                  <w:tcBorders>
                    <w:top w:val="single" w:color="auto" w:sz="4" w:space="0"/>
                    <w:left w:val="single" w:color="auto" w:sz="4" w:space="0"/>
                    <w:bottom w:val="single" w:color="auto" w:sz="4" w:space="0"/>
                    <w:right w:val="single" w:color="auto" w:sz="4" w:space="0"/>
                  </w:tcBorders>
                  <w:noWrap w:val="0"/>
                  <w:vAlign w:val="center"/>
                </w:tcPr>
                <w:p w14:paraId="502533CB">
                  <w:pPr>
                    <w:numPr>
                      <w:ilvl w:val="0"/>
                      <w:numId w:val="5"/>
                    </w:numPr>
                    <w:suppressAutoHyphens/>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后高喷射程（m）</w:t>
                  </w:r>
                </w:p>
              </w:tc>
              <w:tc>
                <w:tcPr>
                  <w:tcW w:w="3122" w:type="dxa"/>
                  <w:tcBorders>
                    <w:top w:val="single" w:color="auto" w:sz="4" w:space="0"/>
                    <w:left w:val="single" w:color="auto" w:sz="4" w:space="0"/>
                    <w:bottom w:val="single" w:color="auto" w:sz="4" w:space="0"/>
                    <w:right w:val="single" w:color="auto" w:sz="4" w:space="0"/>
                  </w:tcBorders>
                  <w:noWrap w:val="0"/>
                  <w:vAlign w:val="center"/>
                </w:tcPr>
                <w:p w14:paraId="11376554">
                  <w:pPr>
                    <w:suppressAutoHyphens/>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w:t>
                  </w:r>
                </w:p>
              </w:tc>
            </w:tr>
            <w:tr w14:paraId="24FD2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01" w:hRule="atLeast"/>
                <w:jc w:val="center"/>
              </w:trPr>
              <w:tc>
                <w:tcPr>
                  <w:tcW w:w="3637" w:type="dxa"/>
                  <w:tcBorders>
                    <w:top w:val="single" w:color="auto" w:sz="4" w:space="0"/>
                    <w:left w:val="single" w:color="auto" w:sz="4" w:space="0"/>
                    <w:bottom w:val="single" w:color="auto" w:sz="4" w:space="0"/>
                    <w:right w:val="single" w:color="auto" w:sz="4" w:space="0"/>
                  </w:tcBorders>
                  <w:noWrap w:val="0"/>
                  <w:vAlign w:val="center"/>
                </w:tcPr>
                <w:p w14:paraId="7F34819E">
                  <w:pPr>
                    <w:widowControl/>
                    <w:numPr>
                      <w:ilvl w:val="0"/>
                      <w:numId w:val="5"/>
                    </w:numPr>
                    <w:suppressAutoHyphens/>
                    <w:spacing w:line="500" w:lineRule="exact"/>
                    <w:ind w:left="0" w:leftChars="0" w:firstLine="40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洒水泵扬程（m）</w:t>
                  </w:r>
                </w:p>
              </w:tc>
              <w:tc>
                <w:tcPr>
                  <w:tcW w:w="3122" w:type="dxa"/>
                  <w:tcBorders>
                    <w:top w:val="single" w:color="auto" w:sz="4" w:space="0"/>
                    <w:left w:val="single" w:color="auto" w:sz="4" w:space="0"/>
                    <w:bottom w:val="single" w:color="auto" w:sz="4" w:space="0"/>
                    <w:right w:val="single" w:color="auto" w:sz="4" w:space="0"/>
                  </w:tcBorders>
                  <w:noWrap w:val="0"/>
                  <w:vAlign w:val="center"/>
                </w:tcPr>
                <w:p w14:paraId="2D22E69F">
                  <w:pPr>
                    <w:widowControl/>
                    <w:suppressAutoHyphens/>
                    <w:spacing w:line="5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110</w:t>
                  </w:r>
                </w:p>
              </w:tc>
            </w:tr>
            <w:tr w14:paraId="228F9021">
              <w:tblPrEx>
                <w:tblCellMar>
                  <w:top w:w="0" w:type="dxa"/>
                  <w:left w:w="57" w:type="dxa"/>
                  <w:bottom w:w="0" w:type="dxa"/>
                  <w:right w:w="57" w:type="dxa"/>
                </w:tblCellMar>
              </w:tblPrEx>
              <w:trPr>
                <w:cantSplit/>
                <w:trHeight w:val="501" w:hRule="atLeast"/>
                <w:jc w:val="center"/>
              </w:trPr>
              <w:tc>
                <w:tcPr>
                  <w:tcW w:w="3637" w:type="dxa"/>
                  <w:tcBorders>
                    <w:top w:val="single" w:color="auto" w:sz="4" w:space="0"/>
                    <w:left w:val="single" w:color="auto" w:sz="4" w:space="0"/>
                    <w:bottom w:val="single" w:color="auto" w:sz="4" w:space="0"/>
                    <w:right w:val="single" w:color="auto" w:sz="4" w:space="0"/>
                  </w:tcBorders>
                  <w:noWrap w:val="0"/>
                  <w:vAlign w:val="center"/>
                </w:tcPr>
                <w:p w14:paraId="1A7C9334">
                  <w:pPr>
                    <w:numPr>
                      <w:ilvl w:val="0"/>
                      <w:numId w:val="5"/>
                    </w:numPr>
                    <w:suppressAutoHyphens/>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洒水泵流量（m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w:t>
                  </w:r>
                </w:p>
              </w:tc>
              <w:tc>
                <w:tcPr>
                  <w:tcW w:w="3122" w:type="dxa"/>
                  <w:tcBorders>
                    <w:top w:val="single" w:color="auto" w:sz="4" w:space="0"/>
                    <w:left w:val="single" w:color="auto" w:sz="4" w:space="0"/>
                    <w:bottom w:val="single" w:color="auto" w:sz="4" w:space="0"/>
                    <w:right w:val="single" w:color="auto" w:sz="4" w:space="0"/>
                  </w:tcBorders>
                  <w:noWrap w:val="0"/>
                  <w:vAlign w:val="center"/>
                </w:tcPr>
                <w:p w14:paraId="2FA5F391">
                  <w:pPr>
                    <w:suppressAutoHyphens/>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w:t>
                  </w:r>
                </w:p>
              </w:tc>
            </w:tr>
            <w:tr w14:paraId="640C2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1" w:hRule="atLeast"/>
                <w:jc w:val="center"/>
              </w:trPr>
              <w:tc>
                <w:tcPr>
                  <w:tcW w:w="3637" w:type="dxa"/>
                  <w:tcBorders>
                    <w:top w:val="single" w:color="auto" w:sz="4" w:space="0"/>
                    <w:left w:val="single" w:color="auto" w:sz="4" w:space="0"/>
                    <w:bottom w:val="single" w:color="auto" w:sz="4" w:space="0"/>
                    <w:right w:val="single" w:color="auto" w:sz="4" w:space="0"/>
                  </w:tcBorders>
                  <w:noWrap w:val="0"/>
                  <w:vAlign w:val="center"/>
                </w:tcPr>
                <w:p w14:paraId="4CFEE052">
                  <w:pPr>
                    <w:widowControl/>
                    <w:numPr>
                      <w:ilvl w:val="0"/>
                      <w:numId w:val="5"/>
                    </w:numPr>
                    <w:suppressAutoHyphens/>
                    <w:spacing w:line="500" w:lineRule="exact"/>
                    <w:ind w:left="0" w:leftChars="0" w:firstLine="40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驾驶室调温措施</w:t>
                  </w:r>
                </w:p>
              </w:tc>
              <w:tc>
                <w:tcPr>
                  <w:tcW w:w="3122" w:type="dxa"/>
                  <w:tcBorders>
                    <w:top w:val="single" w:color="auto" w:sz="4" w:space="0"/>
                    <w:left w:val="single" w:color="auto" w:sz="4" w:space="0"/>
                    <w:bottom w:val="single" w:color="auto" w:sz="4" w:space="0"/>
                    <w:right w:val="single" w:color="auto" w:sz="4" w:space="0"/>
                  </w:tcBorders>
                  <w:noWrap w:val="0"/>
                  <w:vAlign w:val="center"/>
                </w:tcPr>
                <w:p w14:paraId="658AE731">
                  <w:pPr>
                    <w:widowControl/>
                    <w:suppressAutoHyphens/>
                    <w:spacing w:line="5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配原厂冷暖空调</w:t>
                  </w:r>
                </w:p>
              </w:tc>
            </w:tr>
          </w:tbl>
          <w:p w14:paraId="65A11D1D">
            <w:pPr>
              <w:spacing w:line="48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二、主要功能要求</w:t>
            </w:r>
          </w:p>
          <w:p w14:paraId="23D4CA6D">
            <w:pPr>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1、采用自吸式双级离心泵，电机单独驱动低压水泵，保证低压水泵转速不受底盘行驶速度影响。</w:t>
            </w:r>
          </w:p>
          <w:p w14:paraId="2A2D5B5E">
            <w:pPr>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2、中部柱状冲洗装置有圆锥喷嘴左右各一个，双向冲洗，均由气动控制，喷嘴可左右360，上下360任意调整，一次冲洗宽度不小于24米。</w:t>
            </w:r>
          </w:p>
          <w:p w14:paraId="0275DB22">
            <w:pPr>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3、后洒水装置采用气动控制后洒喷嘴的开启与关闭，同时开启两个后洒喷嘴时，洒水宽度不小于16米。</w:t>
            </w:r>
          </w:p>
          <w:p w14:paraId="673711D3">
            <w:pPr>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后高喷水枪采用铝制远射程水枪，可喷洗多种高度的物体，能清除一些不易清洗的环卫死角。高喷水枪可左右360旋转、枪体可上下俯仰操作。正反拧转枪体前部的调节套管，可调节水枪的喷射形状（柱状或雾状）及关闭水枪。还具有辅助消防功能。</w:t>
            </w:r>
          </w:p>
          <w:p w14:paraId="5D27B44B">
            <w:pPr>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5、水罐内部采用防波板缓冲结构设计，底架采用框架结构。</w:t>
            </w:r>
          </w:p>
          <w:p w14:paraId="2A47A55C">
            <w:pPr>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6、水泵、管路、水阀均设放水排干功能，避免产品在低温环境下冻裂损坏。</w:t>
            </w:r>
          </w:p>
          <w:p w14:paraId="67600489">
            <w:pPr>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7、水罐内部采用环氧煤沥青漆专业防腐涂层，保证防腐效果。</w:t>
            </w:r>
          </w:p>
          <w:p w14:paraId="185501C6">
            <w:pPr>
              <w:spacing w:line="480" w:lineRule="exac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8、水罐设低水位报警系统，防止水泵缺水工作而损坏。</w:t>
            </w:r>
          </w:p>
        </w:tc>
        <w:tc>
          <w:tcPr>
            <w:tcW w:w="1797" w:type="dxa"/>
            <w:tcBorders>
              <w:top w:val="single" w:color="000000" w:sz="4" w:space="0"/>
              <w:left w:val="nil"/>
              <w:bottom w:val="single" w:color="000000" w:sz="4" w:space="0"/>
              <w:right w:val="single" w:color="000000" w:sz="4" w:space="0"/>
            </w:tcBorders>
            <w:shd w:val="clear" w:color="auto" w:fill="auto"/>
            <w:vAlign w:val="center"/>
          </w:tcPr>
          <w:p w14:paraId="5583E99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新能源车辆，包含牌照，一年保险（全险及商业三责险),车辆管理系统（车载北斗系统）清扫雪滚双动力驱动</w:t>
            </w:r>
          </w:p>
        </w:tc>
      </w:tr>
      <w:tr w14:paraId="45447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3"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E4C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6ED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18吨洒水车</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20C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辆</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948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509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43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7500" w:type="dxa"/>
            <w:tcBorders>
              <w:top w:val="single" w:color="000000" w:sz="4" w:space="0"/>
              <w:left w:val="nil"/>
              <w:bottom w:val="single" w:color="000000" w:sz="4" w:space="0"/>
              <w:right w:val="single" w:color="000000" w:sz="4" w:space="0"/>
            </w:tcBorders>
            <w:shd w:val="clear" w:color="auto" w:fill="auto"/>
            <w:vAlign w:val="center"/>
          </w:tcPr>
          <w:tbl>
            <w:tblPr>
              <w:tblStyle w:val="16"/>
              <w:tblW w:w="7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0"/>
              <w:gridCol w:w="3849"/>
            </w:tblGrid>
            <w:tr w14:paraId="20F0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319" w:type="pct"/>
                  <w:tcBorders>
                    <w:top w:val="single" w:color="auto" w:sz="4" w:space="0"/>
                    <w:left w:val="single" w:color="auto" w:sz="4" w:space="0"/>
                    <w:bottom w:val="single" w:color="auto" w:sz="4" w:space="0"/>
                    <w:right w:val="single" w:color="auto" w:sz="4" w:space="0"/>
                  </w:tcBorders>
                  <w:vAlign w:val="center"/>
                </w:tcPr>
                <w:p w14:paraId="7C220700">
                  <w:pPr>
                    <w:spacing w:line="46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序号、</w:t>
                  </w:r>
                  <w:r>
                    <w:rPr>
                      <w:rFonts w:hint="eastAsia" w:ascii="宋体" w:hAnsi="宋体" w:eastAsia="宋体" w:cs="宋体"/>
                      <w:color w:val="auto"/>
                      <w:sz w:val="21"/>
                      <w:szCs w:val="21"/>
                      <w:highlight w:val="none"/>
                    </w:rPr>
                    <w:t>项目</w:t>
                  </w:r>
                </w:p>
              </w:tc>
              <w:tc>
                <w:tcPr>
                  <w:tcW w:w="2680" w:type="pct"/>
                  <w:tcBorders>
                    <w:top w:val="single" w:color="auto" w:sz="4" w:space="0"/>
                    <w:left w:val="single" w:color="auto" w:sz="4" w:space="0"/>
                    <w:bottom w:val="single" w:color="auto" w:sz="4" w:space="0"/>
                    <w:right w:val="single" w:color="auto" w:sz="4" w:space="0"/>
                  </w:tcBorders>
                  <w:shd w:val="clear" w:color="auto" w:fill="auto"/>
                  <w:vAlign w:val="center"/>
                </w:tcPr>
                <w:p w14:paraId="5005538E">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参数</w:t>
                  </w:r>
                </w:p>
              </w:tc>
            </w:tr>
            <w:tr w14:paraId="7D8A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9" w:type="pct"/>
                  <w:tcBorders>
                    <w:top w:val="single" w:color="auto" w:sz="4" w:space="0"/>
                    <w:left w:val="single" w:color="auto" w:sz="4" w:space="0"/>
                    <w:bottom w:val="single" w:color="auto" w:sz="4" w:space="0"/>
                    <w:right w:val="single" w:color="auto" w:sz="4" w:space="0"/>
                  </w:tcBorders>
                  <w:vAlign w:val="center"/>
                </w:tcPr>
                <w:p w14:paraId="431C4D54">
                  <w:pPr>
                    <w:numPr>
                      <w:ilvl w:val="0"/>
                      <w:numId w:val="6"/>
                    </w:numPr>
                    <w:spacing w:line="46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底盘类别</w:t>
                  </w:r>
                </w:p>
              </w:tc>
              <w:tc>
                <w:tcPr>
                  <w:tcW w:w="2680" w:type="pct"/>
                  <w:tcBorders>
                    <w:top w:val="single" w:color="auto" w:sz="4" w:space="0"/>
                    <w:left w:val="single" w:color="auto" w:sz="4" w:space="0"/>
                    <w:bottom w:val="single" w:color="auto" w:sz="4" w:space="0"/>
                    <w:right w:val="single" w:color="auto" w:sz="4" w:space="0"/>
                  </w:tcBorders>
                  <w:vAlign w:val="center"/>
                </w:tcPr>
                <w:p w14:paraId="1FB4A131">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二类载货汽车底盘</w:t>
                  </w:r>
                </w:p>
              </w:tc>
            </w:tr>
            <w:tr w14:paraId="2F6E0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9" w:type="pct"/>
                  <w:tcBorders>
                    <w:top w:val="single" w:color="auto" w:sz="4" w:space="0"/>
                    <w:left w:val="single" w:color="auto" w:sz="4" w:space="0"/>
                    <w:bottom w:val="single" w:color="auto" w:sz="4" w:space="0"/>
                    <w:right w:val="single" w:color="auto" w:sz="4" w:space="0"/>
                  </w:tcBorders>
                  <w:vAlign w:val="center"/>
                </w:tcPr>
                <w:p w14:paraId="50806B64">
                  <w:pPr>
                    <w:numPr>
                      <w:ilvl w:val="0"/>
                      <w:numId w:val="6"/>
                    </w:numPr>
                    <w:spacing w:line="46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电机峰值功率（kW）</w:t>
                  </w:r>
                </w:p>
              </w:tc>
              <w:tc>
                <w:tcPr>
                  <w:tcW w:w="2680" w:type="pct"/>
                  <w:tcBorders>
                    <w:top w:val="single" w:color="auto" w:sz="4" w:space="0"/>
                    <w:left w:val="single" w:color="auto" w:sz="4" w:space="0"/>
                    <w:bottom w:val="single" w:color="auto" w:sz="4" w:space="0"/>
                    <w:right w:val="single" w:color="auto" w:sz="4" w:space="0"/>
                  </w:tcBorders>
                  <w:vAlign w:val="center"/>
                </w:tcPr>
                <w:p w14:paraId="1D5B062E">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≥160</w:t>
                  </w:r>
                </w:p>
              </w:tc>
            </w:tr>
            <w:tr w14:paraId="6ED1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9" w:type="pct"/>
                  <w:tcBorders>
                    <w:top w:val="single" w:color="auto" w:sz="4" w:space="0"/>
                    <w:left w:val="single" w:color="auto" w:sz="4" w:space="0"/>
                    <w:bottom w:val="single" w:color="auto" w:sz="4" w:space="0"/>
                    <w:right w:val="single" w:color="auto" w:sz="4" w:space="0"/>
                  </w:tcBorders>
                  <w:vAlign w:val="center"/>
                </w:tcPr>
                <w:p w14:paraId="0FA00E98">
                  <w:pPr>
                    <w:numPr>
                      <w:ilvl w:val="0"/>
                      <w:numId w:val="6"/>
                    </w:numPr>
                    <w:spacing w:line="46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电池能量密度（wh/kg）</w:t>
                  </w:r>
                </w:p>
              </w:tc>
              <w:tc>
                <w:tcPr>
                  <w:tcW w:w="2680" w:type="pct"/>
                  <w:tcBorders>
                    <w:top w:val="single" w:color="auto" w:sz="4" w:space="0"/>
                    <w:left w:val="single" w:color="auto" w:sz="4" w:space="0"/>
                    <w:bottom w:val="single" w:color="auto" w:sz="4" w:space="0"/>
                    <w:right w:val="single" w:color="auto" w:sz="4" w:space="0"/>
                  </w:tcBorders>
                  <w:vAlign w:val="center"/>
                </w:tcPr>
                <w:p w14:paraId="4E6CDA83">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≥140</w:t>
                  </w:r>
                </w:p>
              </w:tc>
            </w:tr>
            <w:tr w14:paraId="083C9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9" w:type="pct"/>
                  <w:tcBorders>
                    <w:top w:val="single" w:color="auto" w:sz="4" w:space="0"/>
                    <w:left w:val="single" w:color="auto" w:sz="4" w:space="0"/>
                    <w:bottom w:val="single" w:color="auto" w:sz="4" w:space="0"/>
                    <w:right w:val="single" w:color="auto" w:sz="4" w:space="0"/>
                  </w:tcBorders>
                  <w:vAlign w:val="center"/>
                </w:tcPr>
                <w:p w14:paraId="78A9647B">
                  <w:pPr>
                    <w:numPr>
                      <w:ilvl w:val="0"/>
                      <w:numId w:val="6"/>
                    </w:numPr>
                    <w:spacing w:line="46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储能装置总储电量（kWh）</w:t>
                  </w:r>
                </w:p>
              </w:tc>
              <w:tc>
                <w:tcPr>
                  <w:tcW w:w="2680" w:type="pct"/>
                  <w:tcBorders>
                    <w:top w:val="single" w:color="auto" w:sz="4" w:space="0"/>
                    <w:left w:val="single" w:color="auto" w:sz="4" w:space="0"/>
                    <w:bottom w:val="single" w:color="auto" w:sz="4" w:space="0"/>
                    <w:right w:val="single" w:color="auto" w:sz="4" w:space="0"/>
                  </w:tcBorders>
                  <w:vAlign w:val="center"/>
                </w:tcPr>
                <w:p w14:paraId="66C85AA8">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w:t>
                  </w:r>
                </w:p>
              </w:tc>
            </w:tr>
            <w:tr w14:paraId="603ED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9" w:type="pct"/>
                  <w:tcBorders>
                    <w:top w:val="single" w:color="auto" w:sz="4" w:space="0"/>
                    <w:left w:val="single" w:color="auto" w:sz="4" w:space="0"/>
                    <w:bottom w:val="single" w:color="auto" w:sz="4" w:space="0"/>
                    <w:right w:val="single" w:color="auto" w:sz="4" w:space="0"/>
                  </w:tcBorders>
                  <w:vAlign w:val="center"/>
                </w:tcPr>
                <w:p w14:paraId="5DBC9D0E">
                  <w:pPr>
                    <w:numPr>
                      <w:ilvl w:val="0"/>
                      <w:numId w:val="6"/>
                    </w:numPr>
                    <w:spacing w:line="46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续航里程（km）</w:t>
                  </w:r>
                </w:p>
              </w:tc>
              <w:tc>
                <w:tcPr>
                  <w:tcW w:w="2680" w:type="pct"/>
                  <w:tcBorders>
                    <w:top w:val="single" w:color="auto" w:sz="4" w:space="0"/>
                    <w:left w:val="single" w:color="auto" w:sz="4" w:space="0"/>
                    <w:bottom w:val="single" w:color="auto" w:sz="4" w:space="0"/>
                    <w:right w:val="single" w:color="auto" w:sz="4" w:space="0"/>
                  </w:tcBorders>
                  <w:vAlign w:val="center"/>
                </w:tcPr>
                <w:p w14:paraId="38ED4A4F">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≥280</w:t>
                  </w:r>
                </w:p>
              </w:tc>
            </w:tr>
            <w:tr w14:paraId="65C68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9" w:type="pct"/>
                  <w:tcBorders>
                    <w:top w:val="single" w:color="auto" w:sz="4" w:space="0"/>
                    <w:left w:val="single" w:color="auto" w:sz="4" w:space="0"/>
                    <w:bottom w:val="single" w:color="auto" w:sz="4" w:space="0"/>
                    <w:right w:val="single" w:color="auto" w:sz="4" w:space="0"/>
                  </w:tcBorders>
                  <w:vAlign w:val="center"/>
                </w:tcPr>
                <w:p w14:paraId="15E994ED">
                  <w:pPr>
                    <w:numPr>
                      <w:ilvl w:val="0"/>
                      <w:numId w:val="6"/>
                    </w:numPr>
                    <w:spacing w:line="46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电源电池种类</w:t>
                  </w:r>
                </w:p>
              </w:tc>
              <w:tc>
                <w:tcPr>
                  <w:tcW w:w="2680" w:type="pct"/>
                  <w:tcBorders>
                    <w:top w:val="single" w:color="auto" w:sz="4" w:space="0"/>
                    <w:left w:val="single" w:color="auto" w:sz="4" w:space="0"/>
                    <w:bottom w:val="single" w:color="auto" w:sz="4" w:space="0"/>
                    <w:right w:val="single" w:color="auto" w:sz="4" w:space="0"/>
                  </w:tcBorders>
                  <w:vAlign w:val="center"/>
                </w:tcPr>
                <w:p w14:paraId="3C1C6335">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磷酸铁锂电池</w:t>
                  </w:r>
                </w:p>
              </w:tc>
            </w:tr>
            <w:tr w14:paraId="4481E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9" w:type="pct"/>
                  <w:tcBorders>
                    <w:top w:val="single" w:color="auto" w:sz="4" w:space="0"/>
                    <w:left w:val="single" w:color="auto" w:sz="4" w:space="0"/>
                    <w:bottom w:val="single" w:color="auto" w:sz="4" w:space="0"/>
                    <w:right w:val="single" w:color="auto" w:sz="4" w:space="0"/>
                  </w:tcBorders>
                  <w:vAlign w:val="center"/>
                </w:tcPr>
                <w:p w14:paraId="695058D7">
                  <w:pPr>
                    <w:numPr>
                      <w:ilvl w:val="0"/>
                      <w:numId w:val="6"/>
                    </w:numPr>
                    <w:spacing w:line="46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最大总质量(kg)</w:t>
                  </w:r>
                </w:p>
              </w:tc>
              <w:tc>
                <w:tcPr>
                  <w:tcW w:w="2680" w:type="pct"/>
                  <w:tcBorders>
                    <w:top w:val="single" w:color="auto" w:sz="4" w:space="0"/>
                    <w:left w:val="single" w:color="auto" w:sz="4" w:space="0"/>
                    <w:bottom w:val="single" w:color="auto" w:sz="4" w:space="0"/>
                    <w:right w:val="single" w:color="auto" w:sz="4" w:space="0"/>
                  </w:tcBorders>
                  <w:vAlign w:val="center"/>
                </w:tcPr>
                <w:p w14:paraId="680459DE">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18000（±500）</w:t>
                  </w:r>
                </w:p>
              </w:tc>
            </w:tr>
            <w:tr w14:paraId="08DF1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9" w:type="pct"/>
                  <w:tcBorders>
                    <w:top w:val="single" w:color="auto" w:sz="4" w:space="0"/>
                    <w:left w:val="single" w:color="auto" w:sz="4" w:space="0"/>
                    <w:bottom w:val="single" w:color="auto" w:sz="4" w:space="0"/>
                    <w:right w:val="single" w:color="auto" w:sz="4" w:space="0"/>
                  </w:tcBorders>
                  <w:vAlign w:val="center"/>
                </w:tcPr>
                <w:p w14:paraId="75579807">
                  <w:pPr>
                    <w:numPr>
                      <w:ilvl w:val="0"/>
                      <w:numId w:val="6"/>
                    </w:numPr>
                    <w:spacing w:line="46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整备质量(kg)</w:t>
                  </w:r>
                </w:p>
              </w:tc>
              <w:tc>
                <w:tcPr>
                  <w:tcW w:w="2680" w:type="pct"/>
                  <w:tcBorders>
                    <w:top w:val="single" w:color="auto" w:sz="4" w:space="0"/>
                    <w:left w:val="single" w:color="auto" w:sz="4" w:space="0"/>
                    <w:bottom w:val="single" w:color="auto" w:sz="4" w:space="0"/>
                    <w:right w:val="single" w:color="auto" w:sz="4" w:space="0"/>
                  </w:tcBorders>
                  <w:vAlign w:val="center"/>
                </w:tcPr>
                <w:p w14:paraId="585EA267">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≥8600</w:t>
                  </w:r>
                </w:p>
              </w:tc>
            </w:tr>
            <w:tr w14:paraId="2349A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9" w:type="pct"/>
                  <w:tcBorders>
                    <w:top w:val="single" w:color="auto" w:sz="4" w:space="0"/>
                    <w:left w:val="single" w:color="auto" w:sz="4" w:space="0"/>
                    <w:bottom w:val="single" w:color="auto" w:sz="4" w:space="0"/>
                    <w:right w:val="single" w:color="auto" w:sz="4" w:space="0"/>
                  </w:tcBorders>
                  <w:vAlign w:val="center"/>
                </w:tcPr>
                <w:p w14:paraId="35979266">
                  <w:pPr>
                    <w:numPr>
                      <w:ilvl w:val="0"/>
                      <w:numId w:val="6"/>
                    </w:numPr>
                    <w:spacing w:line="46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额定载质量(kg)</w:t>
                  </w:r>
                </w:p>
              </w:tc>
              <w:tc>
                <w:tcPr>
                  <w:tcW w:w="2680" w:type="pct"/>
                  <w:tcBorders>
                    <w:top w:val="single" w:color="auto" w:sz="4" w:space="0"/>
                    <w:left w:val="single" w:color="auto" w:sz="4" w:space="0"/>
                    <w:bottom w:val="single" w:color="auto" w:sz="4" w:space="0"/>
                    <w:right w:val="single" w:color="auto" w:sz="4" w:space="0"/>
                  </w:tcBorders>
                  <w:vAlign w:val="center"/>
                </w:tcPr>
                <w:p w14:paraId="4E4C06AA">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≥8800</w:t>
                  </w:r>
                </w:p>
              </w:tc>
            </w:tr>
            <w:tr w14:paraId="5A3E4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9" w:type="pct"/>
                  <w:tcBorders>
                    <w:top w:val="single" w:color="auto" w:sz="4" w:space="0"/>
                    <w:left w:val="single" w:color="auto" w:sz="4" w:space="0"/>
                    <w:bottom w:val="single" w:color="auto" w:sz="4" w:space="0"/>
                    <w:right w:val="single" w:color="auto" w:sz="4" w:space="0"/>
                  </w:tcBorders>
                  <w:vAlign w:val="center"/>
                </w:tcPr>
                <w:p w14:paraId="50AC16D7">
                  <w:pPr>
                    <w:numPr>
                      <w:ilvl w:val="0"/>
                      <w:numId w:val="6"/>
                    </w:numPr>
                    <w:spacing w:line="460" w:lineRule="exact"/>
                    <w:ind w:left="0" w:leftChars="0" w:firstLine="400" w:firstLineChars="0"/>
                    <w:jc w:val="left"/>
                    <w:rPr>
                      <w:rFonts w:hint="eastAsia" w:ascii="宋体" w:hAnsi="宋体" w:eastAsia="宋体" w:cs="宋体"/>
                      <w:color w:val="auto"/>
                      <w:sz w:val="21"/>
                      <w:szCs w:val="21"/>
                      <w:highlight w:val="none"/>
                    </w:rPr>
                  </w:pPr>
                  <w:bookmarkStart w:id="58" w:name="OLE_LINK3"/>
                  <w:bookmarkStart w:id="59" w:name="OLE_LINK4"/>
                  <w:r>
                    <w:rPr>
                      <w:rFonts w:hint="eastAsia" w:ascii="宋体" w:hAnsi="宋体" w:eastAsia="宋体" w:cs="宋体"/>
                      <w:color w:val="auto"/>
                      <w:sz w:val="21"/>
                      <w:szCs w:val="21"/>
                      <w:highlight w:val="none"/>
                    </w:rPr>
                    <w:t>外形尺寸（长×宽×高(mm)</w:t>
                  </w:r>
                  <w:bookmarkEnd w:id="58"/>
                  <w:bookmarkEnd w:id="59"/>
                </w:p>
              </w:tc>
              <w:tc>
                <w:tcPr>
                  <w:tcW w:w="2680" w:type="pct"/>
                  <w:tcBorders>
                    <w:top w:val="single" w:color="auto" w:sz="4" w:space="0"/>
                    <w:left w:val="single" w:color="auto" w:sz="4" w:space="0"/>
                    <w:bottom w:val="single" w:color="auto" w:sz="4" w:space="0"/>
                    <w:right w:val="single" w:color="auto" w:sz="4" w:space="0"/>
                  </w:tcBorders>
                  <w:vAlign w:val="center"/>
                </w:tcPr>
                <w:p w14:paraId="77B221B5">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≥7900×2510×2900</w:t>
                  </w:r>
                </w:p>
              </w:tc>
            </w:tr>
            <w:tr w14:paraId="23857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9" w:type="pct"/>
                  <w:tcBorders>
                    <w:top w:val="single" w:color="auto" w:sz="4" w:space="0"/>
                    <w:left w:val="single" w:color="auto" w:sz="4" w:space="0"/>
                    <w:bottom w:val="single" w:color="auto" w:sz="4" w:space="0"/>
                    <w:right w:val="single" w:color="auto" w:sz="4" w:space="0"/>
                  </w:tcBorders>
                  <w:vAlign w:val="center"/>
                </w:tcPr>
                <w:p w14:paraId="169D7ACF">
                  <w:pPr>
                    <w:numPr>
                      <w:ilvl w:val="0"/>
                      <w:numId w:val="6"/>
                    </w:numPr>
                    <w:spacing w:line="46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前悬/后悬（mm）</w:t>
                  </w:r>
                </w:p>
              </w:tc>
              <w:tc>
                <w:tcPr>
                  <w:tcW w:w="2680" w:type="pct"/>
                  <w:tcBorders>
                    <w:top w:val="single" w:color="auto" w:sz="4" w:space="0"/>
                    <w:left w:val="single" w:color="auto" w:sz="4" w:space="0"/>
                    <w:bottom w:val="single" w:color="auto" w:sz="4" w:space="0"/>
                    <w:right w:val="single" w:color="auto" w:sz="4" w:space="0"/>
                  </w:tcBorders>
                  <w:vAlign w:val="center"/>
                </w:tcPr>
                <w:p w14:paraId="7669B27C">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≤1450/2180</w:t>
                  </w:r>
                </w:p>
              </w:tc>
            </w:tr>
            <w:tr w14:paraId="0FB7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9" w:type="pct"/>
                  <w:tcBorders>
                    <w:top w:val="single" w:color="auto" w:sz="4" w:space="0"/>
                    <w:left w:val="single" w:color="auto" w:sz="4" w:space="0"/>
                    <w:bottom w:val="single" w:color="auto" w:sz="4" w:space="0"/>
                    <w:right w:val="single" w:color="auto" w:sz="4" w:space="0"/>
                  </w:tcBorders>
                  <w:vAlign w:val="center"/>
                </w:tcPr>
                <w:p w14:paraId="68E26FFD">
                  <w:pPr>
                    <w:numPr>
                      <w:ilvl w:val="0"/>
                      <w:numId w:val="6"/>
                    </w:numPr>
                    <w:spacing w:line="46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接近角/离去角（°）</w:t>
                  </w:r>
                </w:p>
              </w:tc>
              <w:tc>
                <w:tcPr>
                  <w:tcW w:w="2680" w:type="pct"/>
                  <w:tcBorders>
                    <w:top w:val="single" w:color="auto" w:sz="4" w:space="0"/>
                    <w:left w:val="single" w:color="auto" w:sz="4" w:space="0"/>
                    <w:bottom w:val="single" w:color="auto" w:sz="4" w:space="0"/>
                    <w:right w:val="single" w:color="auto" w:sz="4" w:space="0"/>
                  </w:tcBorders>
                  <w:vAlign w:val="center"/>
                </w:tcPr>
                <w:p w14:paraId="5C4F6CE1">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≥14/12</w:t>
                  </w:r>
                </w:p>
              </w:tc>
            </w:tr>
            <w:tr w14:paraId="2423B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9" w:type="pct"/>
                  <w:tcBorders>
                    <w:top w:val="single" w:color="auto" w:sz="4" w:space="0"/>
                    <w:left w:val="single" w:color="auto" w:sz="4" w:space="0"/>
                    <w:bottom w:val="single" w:color="auto" w:sz="4" w:space="0"/>
                    <w:right w:val="single" w:color="auto" w:sz="4" w:space="0"/>
                  </w:tcBorders>
                  <w:vAlign w:val="center"/>
                </w:tcPr>
                <w:p w14:paraId="503FC6C9">
                  <w:pPr>
                    <w:numPr>
                      <w:ilvl w:val="0"/>
                      <w:numId w:val="6"/>
                    </w:numPr>
                    <w:spacing w:line="46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最高车速（km/h）</w:t>
                  </w:r>
                </w:p>
              </w:tc>
              <w:tc>
                <w:tcPr>
                  <w:tcW w:w="2680" w:type="pct"/>
                  <w:tcBorders>
                    <w:top w:val="single" w:color="auto" w:sz="4" w:space="0"/>
                    <w:left w:val="single" w:color="auto" w:sz="4" w:space="0"/>
                    <w:bottom w:val="single" w:color="auto" w:sz="4" w:space="0"/>
                    <w:right w:val="single" w:color="auto" w:sz="4" w:space="0"/>
                  </w:tcBorders>
                  <w:vAlign w:val="center"/>
                </w:tcPr>
                <w:p w14:paraId="69473BC5">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≥89</w:t>
                  </w:r>
                </w:p>
              </w:tc>
            </w:tr>
            <w:tr w14:paraId="4480E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9" w:type="pct"/>
                  <w:tcBorders>
                    <w:top w:val="single" w:color="auto" w:sz="4" w:space="0"/>
                    <w:left w:val="single" w:color="auto" w:sz="4" w:space="0"/>
                    <w:bottom w:val="single" w:color="auto" w:sz="4" w:space="0"/>
                    <w:right w:val="single" w:color="auto" w:sz="4" w:space="0"/>
                  </w:tcBorders>
                  <w:vAlign w:val="center"/>
                </w:tcPr>
                <w:p w14:paraId="1937B29D">
                  <w:pPr>
                    <w:numPr>
                      <w:ilvl w:val="0"/>
                      <w:numId w:val="6"/>
                    </w:numPr>
                    <w:spacing w:line="46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轴距(mm)</w:t>
                  </w:r>
                </w:p>
              </w:tc>
              <w:tc>
                <w:tcPr>
                  <w:tcW w:w="2680" w:type="pct"/>
                  <w:tcBorders>
                    <w:top w:val="single" w:color="auto" w:sz="4" w:space="0"/>
                    <w:left w:val="single" w:color="auto" w:sz="4" w:space="0"/>
                    <w:bottom w:val="single" w:color="auto" w:sz="4" w:space="0"/>
                    <w:right w:val="single" w:color="auto" w:sz="4" w:space="0"/>
                  </w:tcBorders>
                  <w:vAlign w:val="center"/>
                </w:tcPr>
                <w:p w14:paraId="36995CE6">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≤4500</w:t>
                  </w:r>
                </w:p>
              </w:tc>
            </w:tr>
            <w:tr w14:paraId="593EB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9" w:type="pct"/>
                  <w:tcBorders>
                    <w:top w:val="single" w:color="auto" w:sz="4" w:space="0"/>
                    <w:left w:val="single" w:color="auto" w:sz="4" w:space="0"/>
                    <w:bottom w:val="single" w:color="auto" w:sz="4" w:space="0"/>
                    <w:right w:val="single" w:color="auto" w:sz="4" w:space="0"/>
                  </w:tcBorders>
                  <w:vAlign w:val="center"/>
                </w:tcPr>
                <w:p w14:paraId="225950DD">
                  <w:pPr>
                    <w:numPr>
                      <w:ilvl w:val="0"/>
                      <w:numId w:val="6"/>
                    </w:numPr>
                    <w:spacing w:line="46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公告罐体有效容积（m³）</w:t>
                  </w:r>
                </w:p>
              </w:tc>
              <w:tc>
                <w:tcPr>
                  <w:tcW w:w="2680" w:type="pct"/>
                  <w:tcBorders>
                    <w:top w:val="single" w:color="auto" w:sz="4" w:space="0"/>
                    <w:left w:val="single" w:color="auto" w:sz="4" w:space="0"/>
                    <w:bottom w:val="single" w:color="auto" w:sz="4" w:space="0"/>
                    <w:right w:val="single" w:color="auto" w:sz="4" w:space="0"/>
                  </w:tcBorders>
                  <w:vAlign w:val="center"/>
                </w:tcPr>
                <w:p w14:paraId="4675C968">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w:t>
                  </w:r>
                </w:p>
              </w:tc>
            </w:tr>
            <w:tr w14:paraId="6891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9" w:type="pct"/>
                  <w:tcBorders>
                    <w:top w:val="single" w:color="auto" w:sz="4" w:space="0"/>
                    <w:left w:val="single" w:color="auto" w:sz="4" w:space="0"/>
                    <w:bottom w:val="single" w:color="auto" w:sz="4" w:space="0"/>
                    <w:right w:val="single" w:color="auto" w:sz="4" w:space="0"/>
                  </w:tcBorders>
                  <w:vAlign w:val="center"/>
                </w:tcPr>
                <w:p w14:paraId="07A20DF6">
                  <w:pPr>
                    <w:numPr>
                      <w:ilvl w:val="0"/>
                      <w:numId w:val="6"/>
                    </w:numPr>
                    <w:spacing w:line="46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洒水泵扬程(m)</w:t>
                  </w:r>
                </w:p>
              </w:tc>
              <w:tc>
                <w:tcPr>
                  <w:tcW w:w="2680" w:type="pct"/>
                  <w:tcBorders>
                    <w:top w:val="single" w:color="auto" w:sz="4" w:space="0"/>
                    <w:left w:val="single" w:color="auto" w:sz="4" w:space="0"/>
                    <w:bottom w:val="single" w:color="auto" w:sz="4" w:space="0"/>
                    <w:right w:val="single" w:color="auto" w:sz="4" w:space="0"/>
                  </w:tcBorders>
                  <w:vAlign w:val="center"/>
                </w:tcPr>
                <w:p w14:paraId="0F7008B7">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w:t>
                  </w:r>
                </w:p>
              </w:tc>
            </w:tr>
            <w:tr w14:paraId="7EA9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9" w:type="pct"/>
                  <w:tcBorders>
                    <w:top w:val="single" w:color="auto" w:sz="4" w:space="0"/>
                    <w:left w:val="single" w:color="auto" w:sz="4" w:space="0"/>
                    <w:bottom w:val="single" w:color="auto" w:sz="4" w:space="0"/>
                    <w:right w:val="single" w:color="auto" w:sz="4" w:space="0"/>
                  </w:tcBorders>
                  <w:vAlign w:val="center"/>
                </w:tcPr>
                <w:p w14:paraId="67A50272">
                  <w:pPr>
                    <w:numPr>
                      <w:ilvl w:val="0"/>
                      <w:numId w:val="6"/>
                    </w:numPr>
                    <w:spacing w:line="46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洒水泵流量(m³/h)</w:t>
                  </w:r>
                </w:p>
              </w:tc>
              <w:tc>
                <w:tcPr>
                  <w:tcW w:w="2680" w:type="pct"/>
                  <w:tcBorders>
                    <w:top w:val="single" w:color="auto" w:sz="4" w:space="0"/>
                    <w:left w:val="single" w:color="auto" w:sz="4" w:space="0"/>
                    <w:bottom w:val="single" w:color="auto" w:sz="4" w:space="0"/>
                    <w:right w:val="single" w:color="auto" w:sz="4" w:space="0"/>
                  </w:tcBorders>
                  <w:vAlign w:val="center"/>
                </w:tcPr>
                <w:p w14:paraId="719B18AE">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w:t>
                  </w:r>
                </w:p>
              </w:tc>
            </w:tr>
            <w:tr w14:paraId="10DB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9" w:type="pct"/>
                  <w:tcBorders>
                    <w:top w:val="single" w:color="auto" w:sz="4" w:space="0"/>
                    <w:left w:val="single" w:color="auto" w:sz="4" w:space="0"/>
                    <w:bottom w:val="single" w:color="auto" w:sz="4" w:space="0"/>
                    <w:right w:val="single" w:color="auto" w:sz="4" w:space="0"/>
                  </w:tcBorders>
                  <w:vAlign w:val="center"/>
                </w:tcPr>
                <w:p w14:paraId="7A02C5A3">
                  <w:pPr>
                    <w:numPr>
                      <w:ilvl w:val="0"/>
                      <w:numId w:val="6"/>
                    </w:numPr>
                    <w:spacing w:line="46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冲洗宽度(m)</w:t>
                  </w:r>
                </w:p>
              </w:tc>
              <w:tc>
                <w:tcPr>
                  <w:tcW w:w="2680" w:type="pct"/>
                  <w:tcBorders>
                    <w:top w:val="single" w:color="auto" w:sz="4" w:space="0"/>
                    <w:left w:val="single" w:color="auto" w:sz="4" w:space="0"/>
                    <w:bottom w:val="single" w:color="auto" w:sz="4" w:space="0"/>
                    <w:right w:val="single" w:color="auto" w:sz="4" w:space="0"/>
                  </w:tcBorders>
                  <w:vAlign w:val="center"/>
                </w:tcPr>
                <w:p w14:paraId="6896F269">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r>
            <w:tr w14:paraId="6FF15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9" w:type="pct"/>
                  <w:tcBorders>
                    <w:top w:val="single" w:color="auto" w:sz="4" w:space="0"/>
                    <w:left w:val="single" w:color="auto" w:sz="4" w:space="0"/>
                    <w:bottom w:val="single" w:color="auto" w:sz="4" w:space="0"/>
                    <w:right w:val="single" w:color="auto" w:sz="4" w:space="0"/>
                  </w:tcBorders>
                </w:tcPr>
                <w:p w14:paraId="220658B6">
                  <w:pPr>
                    <w:numPr>
                      <w:ilvl w:val="0"/>
                      <w:numId w:val="6"/>
                    </w:numPr>
                    <w:spacing w:line="46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洒水速度（km/h）</w:t>
                  </w:r>
                </w:p>
              </w:tc>
              <w:tc>
                <w:tcPr>
                  <w:tcW w:w="2680" w:type="pct"/>
                  <w:tcBorders>
                    <w:top w:val="single" w:color="auto" w:sz="4" w:space="0"/>
                    <w:left w:val="single" w:color="auto" w:sz="4" w:space="0"/>
                    <w:bottom w:val="single" w:color="auto" w:sz="4" w:space="0"/>
                    <w:right w:val="single" w:color="auto" w:sz="4" w:space="0"/>
                  </w:tcBorders>
                  <w:vAlign w:val="center"/>
                </w:tcPr>
                <w:p w14:paraId="60AD9A61">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r>
            <w:tr w14:paraId="6F5E7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9" w:type="pct"/>
                  <w:tcBorders>
                    <w:top w:val="single" w:color="auto" w:sz="4" w:space="0"/>
                    <w:left w:val="single" w:color="auto" w:sz="4" w:space="0"/>
                    <w:bottom w:val="single" w:color="auto" w:sz="4" w:space="0"/>
                    <w:right w:val="single" w:color="auto" w:sz="4" w:space="0"/>
                  </w:tcBorders>
                  <w:vAlign w:val="center"/>
                </w:tcPr>
                <w:p w14:paraId="3E7743B5">
                  <w:pPr>
                    <w:numPr>
                      <w:ilvl w:val="0"/>
                      <w:numId w:val="6"/>
                    </w:numPr>
                    <w:spacing w:line="46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后高喷射程(m)</w:t>
                  </w:r>
                </w:p>
              </w:tc>
              <w:tc>
                <w:tcPr>
                  <w:tcW w:w="2680" w:type="pct"/>
                  <w:tcBorders>
                    <w:top w:val="single" w:color="auto" w:sz="4" w:space="0"/>
                    <w:left w:val="single" w:color="auto" w:sz="4" w:space="0"/>
                    <w:bottom w:val="single" w:color="auto" w:sz="4" w:space="0"/>
                    <w:right w:val="single" w:color="auto" w:sz="4" w:space="0"/>
                  </w:tcBorders>
                  <w:vAlign w:val="center"/>
                </w:tcPr>
                <w:p w14:paraId="3F6617D9">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w:t>
                  </w:r>
                </w:p>
              </w:tc>
            </w:tr>
            <w:tr w14:paraId="7C3D7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9" w:type="pct"/>
                  <w:tcBorders>
                    <w:top w:val="single" w:color="auto" w:sz="4" w:space="0"/>
                    <w:left w:val="single" w:color="auto" w:sz="4" w:space="0"/>
                    <w:bottom w:val="single" w:color="auto" w:sz="4" w:space="0"/>
                    <w:right w:val="single" w:color="auto" w:sz="4" w:space="0"/>
                  </w:tcBorders>
                  <w:vAlign w:val="center"/>
                </w:tcPr>
                <w:p w14:paraId="08E0F1E6">
                  <w:pPr>
                    <w:numPr>
                      <w:ilvl w:val="0"/>
                      <w:numId w:val="6"/>
                    </w:numPr>
                    <w:spacing w:line="46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驾驶室调温措施</w:t>
                  </w:r>
                </w:p>
              </w:tc>
              <w:tc>
                <w:tcPr>
                  <w:tcW w:w="2680" w:type="pct"/>
                  <w:tcBorders>
                    <w:top w:val="single" w:color="auto" w:sz="4" w:space="0"/>
                    <w:left w:val="single" w:color="auto" w:sz="4" w:space="0"/>
                    <w:bottom w:val="single" w:color="auto" w:sz="4" w:space="0"/>
                    <w:right w:val="single" w:color="auto" w:sz="4" w:space="0"/>
                  </w:tcBorders>
                  <w:vAlign w:val="center"/>
                </w:tcPr>
                <w:p w14:paraId="40635BAB">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配原厂冷暖空调</w:t>
                  </w:r>
                </w:p>
              </w:tc>
            </w:tr>
          </w:tbl>
          <w:p w14:paraId="71F5B609">
            <w:pPr>
              <w:spacing w:line="5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二、主要功能要求</w:t>
            </w:r>
          </w:p>
          <w:p w14:paraId="15ED57AF">
            <w:pPr>
              <w:tabs>
                <w:tab w:val="left" w:pos="2127"/>
              </w:tabs>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1、适用于城市道路、公路、广场及港口码头等场地的清洗作业，以及绿化带植物的浇灌作业。</w:t>
            </w:r>
          </w:p>
          <w:p w14:paraId="2F3F9254">
            <w:pPr>
              <w:tabs>
                <w:tab w:val="left" w:pos="2127"/>
              </w:tabs>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2、水泵采用自吸式双级离心泵，电机单独驱动低压水泵，保证低压水泵转速不受底盘行驶速度影响。</w:t>
            </w:r>
          </w:p>
          <w:p w14:paraId="4394225F">
            <w:pPr>
              <w:tabs>
                <w:tab w:val="left" w:pos="2127"/>
              </w:tabs>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3、前冲洗装置，适用于冲洗路面及路沿，由气动进行控制。</w:t>
            </w:r>
          </w:p>
          <w:p w14:paraId="1C311A01">
            <w:pPr>
              <w:tabs>
                <w:tab w:val="left" w:pos="2127"/>
              </w:tabs>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4、中部柱状冲洗装置左右各一个圆锥喷嘴，双向冲洗，气动控制，喷嘴可左右360，上下360任意调整，中对冲可一次冲洗宽度不小于24米。</w:t>
            </w:r>
          </w:p>
          <w:p w14:paraId="1AA990A6">
            <w:pPr>
              <w:tabs>
                <w:tab w:val="left" w:pos="2127"/>
              </w:tabs>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5、后洒水装置采用气动控制后洒喷嘴的开启与关闭，同时开启两个后洒喷嘴时，洒水宽度不小于16米。</w:t>
            </w:r>
          </w:p>
          <w:p w14:paraId="72E61A20">
            <w:pPr>
              <w:tabs>
                <w:tab w:val="left" w:pos="2127"/>
              </w:tabs>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后高喷铝制远射程水枪，用于喷洗多种高度的物体，清除一些不易清洗的环卫死角。高喷水枪可左右360旋转、枪体可上下俯仰操作。正反拧转枪体前部的调节套管，可调节水枪的喷射形状（柱状或雾状）及关闭水枪。还具有辅助消防功能。</w:t>
            </w:r>
          </w:p>
          <w:p w14:paraId="656F7913">
            <w:pPr>
              <w:tabs>
                <w:tab w:val="left" w:pos="2127"/>
              </w:tabs>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7、罐体内部采用防波板缓冲结构设计，底架采用框架结构。</w:t>
            </w:r>
          </w:p>
          <w:p w14:paraId="7D4E2530">
            <w:pPr>
              <w:tabs>
                <w:tab w:val="left" w:pos="2127"/>
              </w:tabs>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8、水泵、管路、水阀均设放水排干功能，避免产品在低温环境下冻裂损坏。</w:t>
            </w:r>
          </w:p>
          <w:p w14:paraId="41CF1DAC">
            <w:pPr>
              <w:spacing w:after="120" w:line="500" w:lineRule="exac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9、水罐设低水位报警系统，防止水泵缺水工作而损坏。</w:t>
            </w:r>
          </w:p>
        </w:tc>
        <w:tc>
          <w:tcPr>
            <w:tcW w:w="1797" w:type="dxa"/>
            <w:tcBorders>
              <w:top w:val="single" w:color="000000" w:sz="4" w:space="0"/>
              <w:left w:val="nil"/>
              <w:bottom w:val="single" w:color="000000" w:sz="4" w:space="0"/>
              <w:right w:val="single" w:color="000000" w:sz="4" w:space="0"/>
            </w:tcBorders>
            <w:shd w:val="clear" w:color="auto" w:fill="auto"/>
            <w:vAlign w:val="center"/>
          </w:tcPr>
          <w:p w14:paraId="0955D58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新能源车辆，包含牌照，一年保险（全险及商业三责险),车辆管理系统（车载北斗系统），清扫雪滚双动力驱动</w:t>
            </w:r>
          </w:p>
        </w:tc>
      </w:tr>
      <w:tr w14:paraId="76169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9"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89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AC7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18吨高压清洗车</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7E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辆</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29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7C5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7B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7500" w:type="dxa"/>
            <w:tcBorders>
              <w:top w:val="single" w:color="000000" w:sz="4" w:space="0"/>
              <w:left w:val="nil"/>
              <w:bottom w:val="single" w:color="000000" w:sz="4" w:space="0"/>
              <w:right w:val="single" w:color="000000" w:sz="4" w:space="0"/>
            </w:tcBorders>
            <w:shd w:val="clear" w:color="auto" w:fill="auto"/>
            <w:vAlign w:val="center"/>
          </w:tcPr>
          <w:tbl>
            <w:tblPr>
              <w:tblStyle w:val="16"/>
              <w:tblW w:w="6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3"/>
              <w:gridCol w:w="1837"/>
              <w:gridCol w:w="1839"/>
            </w:tblGrid>
            <w:tr w14:paraId="62AF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2320" w:type="pct"/>
                  <w:tcBorders>
                    <w:top w:val="single" w:color="auto" w:sz="4" w:space="0"/>
                    <w:left w:val="single" w:color="auto" w:sz="4" w:space="0"/>
                    <w:bottom w:val="single" w:color="auto" w:sz="4" w:space="0"/>
                    <w:right w:val="single" w:color="auto" w:sz="4" w:space="0"/>
                  </w:tcBorders>
                  <w:vAlign w:val="center"/>
                </w:tcPr>
                <w:p w14:paraId="351059CD">
                  <w:pPr>
                    <w:spacing w:line="5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序号、</w:t>
                  </w:r>
                  <w:r>
                    <w:rPr>
                      <w:rFonts w:hint="eastAsia" w:ascii="宋体" w:hAnsi="宋体" w:eastAsia="宋体" w:cs="宋体"/>
                      <w:color w:val="auto"/>
                      <w:sz w:val="21"/>
                      <w:szCs w:val="21"/>
                      <w:highlight w:val="none"/>
                    </w:rPr>
                    <w:t>项目</w:t>
                  </w:r>
                </w:p>
              </w:tc>
              <w:tc>
                <w:tcPr>
                  <w:tcW w:w="267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97D76E">
                  <w:pPr>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参数</w:t>
                  </w:r>
                </w:p>
              </w:tc>
            </w:tr>
            <w:tr w14:paraId="10262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320" w:type="pct"/>
                  <w:tcBorders>
                    <w:top w:val="single" w:color="auto" w:sz="4" w:space="0"/>
                    <w:left w:val="single" w:color="auto" w:sz="4" w:space="0"/>
                    <w:bottom w:val="single" w:color="auto" w:sz="4" w:space="0"/>
                    <w:right w:val="single" w:color="auto" w:sz="4" w:space="0"/>
                  </w:tcBorders>
                  <w:vAlign w:val="center"/>
                </w:tcPr>
                <w:p w14:paraId="69E8AE6E">
                  <w:pPr>
                    <w:numPr>
                      <w:ilvl w:val="0"/>
                      <w:numId w:val="7"/>
                    </w:numPr>
                    <w:spacing w:line="48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底盘类别</w:t>
                  </w:r>
                </w:p>
              </w:tc>
              <w:tc>
                <w:tcPr>
                  <w:tcW w:w="2679" w:type="pct"/>
                  <w:gridSpan w:val="2"/>
                  <w:tcBorders>
                    <w:top w:val="single" w:color="auto" w:sz="4" w:space="0"/>
                    <w:left w:val="single" w:color="auto" w:sz="4" w:space="0"/>
                    <w:bottom w:val="single" w:color="auto" w:sz="4" w:space="0"/>
                    <w:right w:val="single" w:color="auto" w:sz="4" w:space="0"/>
                  </w:tcBorders>
                  <w:vAlign w:val="center"/>
                </w:tcPr>
                <w:p w14:paraId="4E83FA69">
                  <w:pPr>
                    <w:spacing w:line="4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二类载货汽车底盘</w:t>
                  </w:r>
                </w:p>
              </w:tc>
            </w:tr>
            <w:tr w14:paraId="72289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320" w:type="pct"/>
                  <w:tcBorders>
                    <w:top w:val="single" w:color="auto" w:sz="4" w:space="0"/>
                    <w:left w:val="single" w:color="auto" w:sz="4" w:space="0"/>
                    <w:bottom w:val="single" w:color="auto" w:sz="4" w:space="0"/>
                    <w:right w:val="single" w:color="auto" w:sz="4" w:space="0"/>
                  </w:tcBorders>
                  <w:vAlign w:val="center"/>
                </w:tcPr>
                <w:p w14:paraId="64C651A9">
                  <w:pPr>
                    <w:numPr>
                      <w:ilvl w:val="0"/>
                      <w:numId w:val="7"/>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电机峰值功率（kW）</w:t>
                  </w:r>
                </w:p>
              </w:tc>
              <w:tc>
                <w:tcPr>
                  <w:tcW w:w="2679" w:type="pct"/>
                  <w:gridSpan w:val="2"/>
                  <w:tcBorders>
                    <w:top w:val="single" w:color="auto" w:sz="4" w:space="0"/>
                    <w:left w:val="single" w:color="auto" w:sz="4" w:space="0"/>
                    <w:bottom w:val="single" w:color="auto" w:sz="4" w:space="0"/>
                    <w:right w:val="single" w:color="auto" w:sz="4" w:space="0"/>
                  </w:tcBorders>
                  <w:vAlign w:val="center"/>
                </w:tcPr>
                <w:p w14:paraId="0F865FE9">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≥160</w:t>
                  </w:r>
                </w:p>
              </w:tc>
            </w:tr>
            <w:tr w14:paraId="285FC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320" w:type="pct"/>
                  <w:tcBorders>
                    <w:top w:val="single" w:color="auto" w:sz="4" w:space="0"/>
                    <w:left w:val="single" w:color="auto" w:sz="4" w:space="0"/>
                    <w:bottom w:val="single" w:color="auto" w:sz="4" w:space="0"/>
                    <w:right w:val="single" w:color="auto" w:sz="4" w:space="0"/>
                  </w:tcBorders>
                  <w:vAlign w:val="center"/>
                </w:tcPr>
                <w:p w14:paraId="08898881">
                  <w:pPr>
                    <w:numPr>
                      <w:ilvl w:val="0"/>
                      <w:numId w:val="7"/>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动力电池系统能量密度（W·h/kg）</w:t>
                  </w:r>
                </w:p>
              </w:tc>
              <w:tc>
                <w:tcPr>
                  <w:tcW w:w="2679" w:type="pct"/>
                  <w:gridSpan w:val="2"/>
                  <w:tcBorders>
                    <w:top w:val="single" w:color="auto" w:sz="4" w:space="0"/>
                    <w:left w:val="single" w:color="auto" w:sz="4" w:space="0"/>
                    <w:bottom w:val="single" w:color="auto" w:sz="4" w:space="0"/>
                    <w:right w:val="single" w:color="auto" w:sz="4" w:space="0"/>
                  </w:tcBorders>
                  <w:vAlign w:val="center"/>
                </w:tcPr>
                <w:p w14:paraId="1EA04126">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w:t>
                  </w:r>
                </w:p>
              </w:tc>
            </w:tr>
            <w:tr w14:paraId="179B5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320" w:type="pct"/>
                  <w:tcBorders>
                    <w:top w:val="single" w:color="auto" w:sz="4" w:space="0"/>
                    <w:left w:val="single" w:color="auto" w:sz="4" w:space="0"/>
                    <w:bottom w:val="single" w:color="auto" w:sz="4" w:space="0"/>
                    <w:right w:val="single" w:color="auto" w:sz="4" w:space="0"/>
                  </w:tcBorders>
                  <w:vAlign w:val="center"/>
                </w:tcPr>
                <w:p w14:paraId="0FC369FC">
                  <w:pPr>
                    <w:numPr>
                      <w:ilvl w:val="0"/>
                      <w:numId w:val="7"/>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储能装置总储电量（kWh）</w:t>
                  </w:r>
                </w:p>
              </w:tc>
              <w:tc>
                <w:tcPr>
                  <w:tcW w:w="2679" w:type="pct"/>
                  <w:gridSpan w:val="2"/>
                  <w:tcBorders>
                    <w:top w:val="single" w:color="auto" w:sz="4" w:space="0"/>
                    <w:left w:val="single" w:color="auto" w:sz="4" w:space="0"/>
                    <w:bottom w:val="single" w:color="auto" w:sz="4" w:space="0"/>
                    <w:right w:val="single" w:color="auto" w:sz="4" w:space="0"/>
                  </w:tcBorders>
                  <w:vAlign w:val="center"/>
                </w:tcPr>
                <w:p w14:paraId="427FF382">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w:t>
                  </w:r>
                </w:p>
              </w:tc>
            </w:tr>
            <w:tr w14:paraId="079C1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320" w:type="pct"/>
                  <w:tcBorders>
                    <w:top w:val="single" w:color="auto" w:sz="4" w:space="0"/>
                    <w:left w:val="single" w:color="auto" w:sz="4" w:space="0"/>
                    <w:bottom w:val="single" w:color="auto" w:sz="4" w:space="0"/>
                    <w:right w:val="single" w:color="auto" w:sz="4" w:space="0"/>
                  </w:tcBorders>
                  <w:vAlign w:val="center"/>
                </w:tcPr>
                <w:p w14:paraId="7BA78A67">
                  <w:pPr>
                    <w:numPr>
                      <w:ilvl w:val="0"/>
                      <w:numId w:val="7"/>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续驶里程（km）</w:t>
                  </w:r>
                </w:p>
              </w:tc>
              <w:tc>
                <w:tcPr>
                  <w:tcW w:w="2679" w:type="pct"/>
                  <w:gridSpan w:val="2"/>
                  <w:tcBorders>
                    <w:top w:val="single" w:color="auto" w:sz="4" w:space="0"/>
                    <w:left w:val="single" w:color="auto" w:sz="4" w:space="0"/>
                    <w:bottom w:val="single" w:color="auto" w:sz="4" w:space="0"/>
                    <w:right w:val="single" w:color="auto" w:sz="4" w:space="0"/>
                  </w:tcBorders>
                  <w:vAlign w:val="center"/>
                </w:tcPr>
                <w:p w14:paraId="63E056CE">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≥270</w:t>
                  </w:r>
                </w:p>
              </w:tc>
            </w:tr>
            <w:tr w14:paraId="3CD29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320" w:type="pct"/>
                  <w:tcBorders>
                    <w:top w:val="single" w:color="auto" w:sz="4" w:space="0"/>
                    <w:left w:val="single" w:color="auto" w:sz="4" w:space="0"/>
                    <w:bottom w:val="single" w:color="auto" w:sz="4" w:space="0"/>
                    <w:right w:val="single" w:color="auto" w:sz="4" w:space="0"/>
                  </w:tcBorders>
                  <w:vAlign w:val="center"/>
                </w:tcPr>
                <w:p w14:paraId="6CFE5A44">
                  <w:pPr>
                    <w:numPr>
                      <w:ilvl w:val="0"/>
                      <w:numId w:val="7"/>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电源电池种类</w:t>
                  </w:r>
                </w:p>
              </w:tc>
              <w:tc>
                <w:tcPr>
                  <w:tcW w:w="2679" w:type="pct"/>
                  <w:gridSpan w:val="2"/>
                  <w:tcBorders>
                    <w:top w:val="single" w:color="auto" w:sz="4" w:space="0"/>
                    <w:left w:val="single" w:color="auto" w:sz="4" w:space="0"/>
                    <w:bottom w:val="single" w:color="auto" w:sz="4" w:space="0"/>
                    <w:right w:val="single" w:color="auto" w:sz="4" w:space="0"/>
                  </w:tcBorders>
                  <w:vAlign w:val="center"/>
                </w:tcPr>
                <w:p w14:paraId="5F78A0C1">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磷酸铁锂电池</w:t>
                  </w:r>
                </w:p>
              </w:tc>
            </w:tr>
            <w:tr w14:paraId="51896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320" w:type="pct"/>
                  <w:tcBorders>
                    <w:top w:val="single" w:color="auto" w:sz="4" w:space="0"/>
                    <w:left w:val="single" w:color="auto" w:sz="4" w:space="0"/>
                    <w:bottom w:val="single" w:color="auto" w:sz="4" w:space="0"/>
                    <w:right w:val="single" w:color="auto" w:sz="4" w:space="0"/>
                  </w:tcBorders>
                  <w:vAlign w:val="center"/>
                </w:tcPr>
                <w:p w14:paraId="3B017D53">
                  <w:pPr>
                    <w:numPr>
                      <w:ilvl w:val="0"/>
                      <w:numId w:val="7"/>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上装驱动电机额定功率(kw)</w:t>
                  </w:r>
                </w:p>
              </w:tc>
              <w:tc>
                <w:tcPr>
                  <w:tcW w:w="1339" w:type="pct"/>
                  <w:tcBorders>
                    <w:top w:val="single" w:color="auto" w:sz="4" w:space="0"/>
                    <w:left w:val="single" w:color="auto" w:sz="4" w:space="0"/>
                    <w:bottom w:val="single" w:color="auto" w:sz="4" w:space="0"/>
                    <w:right w:val="single" w:color="auto" w:sz="4" w:space="0"/>
                  </w:tcBorders>
                  <w:vAlign w:val="center"/>
                </w:tcPr>
                <w:p w14:paraId="3745DC0C">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≥30（驱动高压水泵）</w:t>
                  </w:r>
                </w:p>
              </w:tc>
              <w:tc>
                <w:tcPr>
                  <w:tcW w:w="1339" w:type="pct"/>
                  <w:tcBorders>
                    <w:top w:val="single" w:color="auto" w:sz="4" w:space="0"/>
                    <w:left w:val="single" w:color="auto" w:sz="4" w:space="0"/>
                    <w:bottom w:val="single" w:color="auto" w:sz="4" w:space="0"/>
                    <w:right w:val="single" w:color="auto" w:sz="4" w:space="0"/>
                  </w:tcBorders>
                  <w:vAlign w:val="center"/>
                </w:tcPr>
                <w:p w14:paraId="4A463E4A">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≥45（驱动低压水泵）</w:t>
                  </w:r>
                </w:p>
              </w:tc>
            </w:tr>
            <w:tr w14:paraId="6092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320" w:type="pct"/>
                  <w:tcBorders>
                    <w:top w:val="single" w:color="auto" w:sz="4" w:space="0"/>
                    <w:left w:val="single" w:color="auto" w:sz="4" w:space="0"/>
                    <w:bottom w:val="single" w:color="auto" w:sz="4" w:space="0"/>
                    <w:right w:val="single" w:color="auto" w:sz="4" w:space="0"/>
                  </w:tcBorders>
                  <w:vAlign w:val="center"/>
                </w:tcPr>
                <w:p w14:paraId="1C0343F0">
                  <w:pPr>
                    <w:numPr>
                      <w:ilvl w:val="0"/>
                      <w:numId w:val="7"/>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最大总质量(kg)</w:t>
                  </w:r>
                </w:p>
              </w:tc>
              <w:tc>
                <w:tcPr>
                  <w:tcW w:w="2679" w:type="pct"/>
                  <w:gridSpan w:val="2"/>
                  <w:tcBorders>
                    <w:top w:val="single" w:color="auto" w:sz="4" w:space="0"/>
                    <w:left w:val="single" w:color="auto" w:sz="4" w:space="0"/>
                    <w:bottom w:val="single" w:color="auto" w:sz="4" w:space="0"/>
                    <w:right w:val="single" w:color="auto" w:sz="4" w:space="0"/>
                  </w:tcBorders>
                  <w:vAlign w:val="center"/>
                </w:tcPr>
                <w:p w14:paraId="79B0EC8C">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≥18000</w:t>
                  </w:r>
                </w:p>
              </w:tc>
            </w:tr>
            <w:tr w14:paraId="2BD26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320" w:type="pct"/>
                  <w:tcBorders>
                    <w:top w:val="single" w:color="auto" w:sz="4" w:space="0"/>
                    <w:left w:val="single" w:color="auto" w:sz="4" w:space="0"/>
                    <w:bottom w:val="single" w:color="auto" w:sz="4" w:space="0"/>
                    <w:right w:val="single" w:color="auto" w:sz="4" w:space="0"/>
                  </w:tcBorders>
                  <w:vAlign w:val="center"/>
                </w:tcPr>
                <w:p w14:paraId="4069ACB2">
                  <w:pPr>
                    <w:numPr>
                      <w:ilvl w:val="0"/>
                      <w:numId w:val="7"/>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整备质量(kg)</w:t>
                  </w:r>
                </w:p>
              </w:tc>
              <w:tc>
                <w:tcPr>
                  <w:tcW w:w="2679" w:type="pct"/>
                  <w:gridSpan w:val="2"/>
                  <w:tcBorders>
                    <w:top w:val="single" w:color="auto" w:sz="4" w:space="0"/>
                    <w:left w:val="single" w:color="auto" w:sz="4" w:space="0"/>
                    <w:bottom w:val="single" w:color="auto" w:sz="4" w:space="0"/>
                    <w:right w:val="single" w:color="auto" w:sz="4" w:space="0"/>
                  </w:tcBorders>
                  <w:vAlign w:val="center"/>
                </w:tcPr>
                <w:p w14:paraId="33E8A97C">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00</w:t>
                  </w:r>
                </w:p>
              </w:tc>
            </w:tr>
            <w:tr w14:paraId="370EB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320" w:type="pct"/>
                  <w:tcBorders>
                    <w:top w:val="single" w:color="auto" w:sz="4" w:space="0"/>
                    <w:left w:val="single" w:color="auto" w:sz="4" w:space="0"/>
                    <w:bottom w:val="single" w:color="auto" w:sz="4" w:space="0"/>
                    <w:right w:val="single" w:color="auto" w:sz="4" w:space="0"/>
                  </w:tcBorders>
                  <w:vAlign w:val="center"/>
                </w:tcPr>
                <w:p w14:paraId="300D65DA">
                  <w:pPr>
                    <w:numPr>
                      <w:ilvl w:val="0"/>
                      <w:numId w:val="7"/>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额定载质量(kg)</w:t>
                  </w:r>
                </w:p>
              </w:tc>
              <w:tc>
                <w:tcPr>
                  <w:tcW w:w="2679" w:type="pct"/>
                  <w:gridSpan w:val="2"/>
                  <w:tcBorders>
                    <w:top w:val="single" w:color="auto" w:sz="4" w:space="0"/>
                    <w:left w:val="single" w:color="auto" w:sz="4" w:space="0"/>
                    <w:bottom w:val="single" w:color="auto" w:sz="4" w:space="0"/>
                    <w:right w:val="single" w:color="auto" w:sz="4" w:space="0"/>
                  </w:tcBorders>
                  <w:vAlign w:val="center"/>
                </w:tcPr>
                <w:p w14:paraId="3FCD4786">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≥7600</w:t>
                  </w:r>
                </w:p>
              </w:tc>
            </w:tr>
            <w:tr w14:paraId="450B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320" w:type="pct"/>
                  <w:tcBorders>
                    <w:top w:val="single" w:color="auto" w:sz="4" w:space="0"/>
                    <w:left w:val="single" w:color="auto" w:sz="4" w:space="0"/>
                    <w:bottom w:val="single" w:color="auto" w:sz="4" w:space="0"/>
                    <w:right w:val="single" w:color="auto" w:sz="4" w:space="0"/>
                  </w:tcBorders>
                  <w:vAlign w:val="center"/>
                </w:tcPr>
                <w:p w14:paraId="6E51250A">
                  <w:pPr>
                    <w:numPr>
                      <w:ilvl w:val="0"/>
                      <w:numId w:val="7"/>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外形尺寸（长×宽×高(mm)</w:t>
                  </w:r>
                </w:p>
              </w:tc>
              <w:tc>
                <w:tcPr>
                  <w:tcW w:w="2679" w:type="pct"/>
                  <w:gridSpan w:val="2"/>
                  <w:tcBorders>
                    <w:top w:val="single" w:color="auto" w:sz="4" w:space="0"/>
                    <w:left w:val="single" w:color="auto" w:sz="4" w:space="0"/>
                    <w:bottom w:val="single" w:color="auto" w:sz="4" w:space="0"/>
                    <w:right w:val="single" w:color="auto" w:sz="4" w:space="0"/>
                  </w:tcBorders>
                  <w:vAlign w:val="center"/>
                </w:tcPr>
                <w:p w14:paraId="4A62AEDD">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≥8800×2510×2800</w:t>
                  </w:r>
                </w:p>
              </w:tc>
            </w:tr>
            <w:tr w14:paraId="2BD79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320" w:type="pct"/>
                  <w:tcBorders>
                    <w:top w:val="single" w:color="auto" w:sz="4" w:space="0"/>
                    <w:left w:val="single" w:color="auto" w:sz="4" w:space="0"/>
                    <w:bottom w:val="single" w:color="auto" w:sz="4" w:space="0"/>
                    <w:right w:val="single" w:color="auto" w:sz="4" w:space="0"/>
                  </w:tcBorders>
                  <w:vAlign w:val="center"/>
                </w:tcPr>
                <w:p w14:paraId="37134476">
                  <w:pPr>
                    <w:numPr>
                      <w:ilvl w:val="0"/>
                      <w:numId w:val="7"/>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前悬/后悬（mm）</w:t>
                  </w:r>
                </w:p>
              </w:tc>
              <w:tc>
                <w:tcPr>
                  <w:tcW w:w="2679" w:type="pct"/>
                  <w:gridSpan w:val="2"/>
                  <w:tcBorders>
                    <w:top w:val="single" w:color="auto" w:sz="4" w:space="0"/>
                    <w:left w:val="single" w:color="auto" w:sz="4" w:space="0"/>
                    <w:bottom w:val="single" w:color="auto" w:sz="4" w:space="0"/>
                    <w:right w:val="single" w:color="auto" w:sz="4" w:space="0"/>
                  </w:tcBorders>
                  <w:vAlign w:val="center"/>
                </w:tcPr>
                <w:p w14:paraId="256BCEC2">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≤1450/2260</w:t>
                  </w:r>
                </w:p>
              </w:tc>
            </w:tr>
            <w:tr w14:paraId="64215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320" w:type="pct"/>
                  <w:tcBorders>
                    <w:top w:val="single" w:color="auto" w:sz="4" w:space="0"/>
                    <w:left w:val="single" w:color="auto" w:sz="4" w:space="0"/>
                    <w:bottom w:val="single" w:color="auto" w:sz="4" w:space="0"/>
                    <w:right w:val="single" w:color="auto" w:sz="4" w:space="0"/>
                  </w:tcBorders>
                  <w:vAlign w:val="center"/>
                </w:tcPr>
                <w:p w14:paraId="18EF3083">
                  <w:pPr>
                    <w:numPr>
                      <w:ilvl w:val="0"/>
                      <w:numId w:val="7"/>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接近角/离去角（°）</w:t>
                  </w:r>
                </w:p>
              </w:tc>
              <w:tc>
                <w:tcPr>
                  <w:tcW w:w="2679" w:type="pct"/>
                  <w:gridSpan w:val="2"/>
                  <w:tcBorders>
                    <w:top w:val="single" w:color="auto" w:sz="4" w:space="0"/>
                    <w:left w:val="single" w:color="auto" w:sz="4" w:space="0"/>
                    <w:bottom w:val="single" w:color="auto" w:sz="4" w:space="0"/>
                    <w:right w:val="single" w:color="auto" w:sz="4" w:space="0"/>
                  </w:tcBorders>
                  <w:vAlign w:val="center"/>
                </w:tcPr>
                <w:p w14:paraId="20A8D9D5">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≥9/12</w:t>
                  </w:r>
                </w:p>
              </w:tc>
            </w:tr>
            <w:tr w14:paraId="2E0B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320" w:type="pct"/>
                  <w:tcBorders>
                    <w:top w:val="single" w:color="auto" w:sz="4" w:space="0"/>
                    <w:left w:val="single" w:color="auto" w:sz="4" w:space="0"/>
                    <w:bottom w:val="single" w:color="auto" w:sz="4" w:space="0"/>
                    <w:right w:val="single" w:color="auto" w:sz="4" w:space="0"/>
                  </w:tcBorders>
                  <w:vAlign w:val="center"/>
                </w:tcPr>
                <w:p w14:paraId="25F1A3B3">
                  <w:pPr>
                    <w:numPr>
                      <w:ilvl w:val="0"/>
                      <w:numId w:val="7"/>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最高车速（km/h）</w:t>
                  </w:r>
                </w:p>
              </w:tc>
              <w:tc>
                <w:tcPr>
                  <w:tcW w:w="2679" w:type="pct"/>
                  <w:gridSpan w:val="2"/>
                  <w:tcBorders>
                    <w:top w:val="single" w:color="auto" w:sz="4" w:space="0"/>
                    <w:left w:val="single" w:color="auto" w:sz="4" w:space="0"/>
                    <w:bottom w:val="single" w:color="auto" w:sz="4" w:space="0"/>
                    <w:right w:val="single" w:color="auto" w:sz="4" w:space="0"/>
                  </w:tcBorders>
                  <w:vAlign w:val="center"/>
                </w:tcPr>
                <w:p w14:paraId="524AE874">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≥89</w:t>
                  </w:r>
                </w:p>
              </w:tc>
            </w:tr>
            <w:tr w14:paraId="02429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320" w:type="pct"/>
                  <w:tcBorders>
                    <w:top w:val="single" w:color="auto" w:sz="4" w:space="0"/>
                    <w:left w:val="single" w:color="auto" w:sz="4" w:space="0"/>
                    <w:bottom w:val="single" w:color="auto" w:sz="4" w:space="0"/>
                    <w:right w:val="single" w:color="auto" w:sz="4" w:space="0"/>
                  </w:tcBorders>
                  <w:vAlign w:val="center"/>
                </w:tcPr>
                <w:p w14:paraId="6B4403EB">
                  <w:pPr>
                    <w:numPr>
                      <w:ilvl w:val="0"/>
                      <w:numId w:val="7"/>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轴距(mm)</w:t>
                  </w:r>
                </w:p>
              </w:tc>
              <w:tc>
                <w:tcPr>
                  <w:tcW w:w="2679" w:type="pct"/>
                  <w:gridSpan w:val="2"/>
                  <w:tcBorders>
                    <w:top w:val="single" w:color="auto" w:sz="4" w:space="0"/>
                    <w:left w:val="single" w:color="auto" w:sz="4" w:space="0"/>
                    <w:bottom w:val="single" w:color="auto" w:sz="4" w:space="0"/>
                    <w:right w:val="single" w:color="auto" w:sz="4" w:space="0"/>
                  </w:tcBorders>
                  <w:vAlign w:val="center"/>
                </w:tcPr>
                <w:p w14:paraId="6F892259">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≤5200</w:t>
                  </w:r>
                </w:p>
              </w:tc>
            </w:tr>
            <w:tr w14:paraId="6780A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320" w:type="pct"/>
                  <w:tcBorders>
                    <w:top w:val="single" w:color="auto" w:sz="4" w:space="0"/>
                    <w:left w:val="single" w:color="auto" w:sz="4" w:space="0"/>
                    <w:bottom w:val="single" w:color="auto" w:sz="4" w:space="0"/>
                    <w:right w:val="single" w:color="auto" w:sz="4" w:space="0"/>
                  </w:tcBorders>
                  <w:vAlign w:val="center"/>
                </w:tcPr>
                <w:p w14:paraId="3A53D66F">
                  <w:pPr>
                    <w:numPr>
                      <w:ilvl w:val="0"/>
                      <w:numId w:val="7"/>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公告罐体有效容积（m³）</w:t>
                  </w:r>
                </w:p>
              </w:tc>
              <w:tc>
                <w:tcPr>
                  <w:tcW w:w="2679" w:type="pct"/>
                  <w:gridSpan w:val="2"/>
                  <w:tcBorders>
                    <w:top w:val="single" w:color="auto" w:sz="4" w:space="0"/>
                    <w:left w:val="single" w:color="auto" w:sz="4" w:space="0"/>
                    <w:bottom w:val="single" w:color="auto" w:sz="4" w:space="0"/>
                    <w:right w:val="single" w:color="auto" w:sz="4" w:space="0"/>
                  </w:tcBorders>
                  <w:vAlign w:val="center"/>
                </w:tcPr>
                <w:p w14:paraId="41B1A9C2">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r>
            <w:tr w14:paraId="3FDEC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320" w:type="pct"/>
                  <w:tcBorders>
                    <w:top w:val="single" w:color="auto" w:sz="4" w:space="0"/>
                    <w:left w:val="single" w:color="auto" w:sz="4" w:space="0"/>
                    <w:bottom w:val="single" w:color="auto" w:sz="4" w:space="0"/>
                    <w:right w:val="single" w:color="auto" w:sz="4" w:space="0"/>
                  </w:tcBorders>
                  <w:vAlign w:val="center"/>
                </w:tcPr>
                <w:p w14:paraId="55710BF3">
                  <w:pPr>
                    <w:numPr>
                      <w:ilvl w:val="0"/>
                      <w:numId w:val="7"/>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高压水泵压力(MPa)</w:t>
                  </w:r>
                </w:p>
              </w:tc>
              <w:tc>
                <w:tcPr>
                  <w:tcW w:w="2679" w:type="pct"/>
                  <w:gridSpan w:val="2"/>
                  <w:tcBorders>
                    <w:top w:val="single" w:color="auto" w:sz="4" w:space="0"/>
                    <w:left w:val="single" w:color="auto" w:sz="4" w:space="0"/>
                    <w:bottom w:val="single" w:color="auto" w:sz="4" w:space="0"/>
                    <w:right w:val="single" w:color="auto" w:sz="4" w:space="0"/>
                  </w:tcBorders>
                  <w:vAlign w:val="center"/>
                </w:tcPr>
                <w:p w14:paraId="2CA54B63">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r>
            <w:tr w14:paraId="76E4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320" w:type="pct"/>
                  <w:tcBorders>
                    <w:top w:val="single" w:color="auto" w:sz="4" w:space="0"/>
                    <w:left w:val="single" w:color="auto" w:sz="4" w:space="0"/>
                    <w:bottom w:val="single" w:color="auto" w:sz="4" w:space="0"/>
                    <w:right w:val="single" w:color="auto" w:sz="4" w:space="0"/>
                  </w:tcBorders>
                  <w:vAlign w:val="center"/>
                </w:tcPr>
                <w:p w14:paraId="10D499D6">
                  <w:pPr>
                    <w:numPr>
                      <w:ilvl w:val="0"/>
                      <w:numId w:val="7"/>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高压水泵流量(L/min)</w:t>
                  </w:r>
                </w:p>
              </w:tc>
              <w:tc>
                <w:tcPr>
                  <w:tcW w:w="2679" w:type="pct"/>
                  <w:gridSpan w:val="2"/>
                  <w:tcBorders>
                    <w:top w:val="single" w:color="auto" w:sz="4" w:space="0"/>
                    <w:left w:val="single" w:color="auto" w:sz="4" w:space="0"/>
                    <w:bottom w:val="single" w:color="auto" w:sz="4" w:space="0"/>
                    <w:right w:val="single" w:color="auto" w:sz="4" w:space="0"/>
                  </w:tcBorders>
                  <w:vAlign w:val="center"/>
                </w:tcPr>
                <w:p w14:paraId="601D1AE1">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≥140</w:t>
                  </w:r>
                </w:p>
              </w:tc>
            </w:tr>
            <w:tr w14:paraId="6DB04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320" w:type="pct"/>
                  <w:tcBorders>
                    <w:top w:val="single" w:color="auto" w:sz="4" w:space="0"/>
                    <w:left w:val="single" w:color="auto" w:sz="4" w:space="0"/>
                    <w:bottom w:val="single" w:color="auto" w:sz="4" w:space="0"/>
                    <w:right w:val="single" w:color="auto" w:sz="4" w:space="0"/>
                  </w:tcBorders>
                  <w:vAlign w:val="center"/>
                </w:tcPr>
                <w:p w14:paraId="2B303B1E">
                  <w:pPr>
                    <w:numPr>
                      <w:ilvl w:val="0"/>
                      <w:numId w:val="7"/>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洒水泵扬程(m)</w:t>
                  </w:r>
                </w:p>
              </w:tc>
              <w:tc>
                <w:tcPr>
                  <w:tcW w:w="2679" w:type="pct"/>
                  <w:gridSpan w:val="2"/>
                  <w:tcBorders>
                    <w:top w:val="single" w:color="auto" w:sz="4" w:space="0"/>
                    <w:left w:val="single" w:color="auto" w:sz="4" w:space="0"/>
                    <w:bottom w:val="single" w:color="auto" w:sz="4" w:space="0"/>
                    <w:right w:val="single" w:color="auto" w:sz="4" w:space="0"/>
                  </w:tcBorders>
                  <w:vAlign w:val="center"/>
                </w:tcPr>
                <w:p w14:paraId="41ACF41B">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w:t>
                  </w:r>
                </w:p>
              </w:tc>
            </w:tr>
            <w:tr w14:paraId="2C9A3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320" w:type="pct"/>
                  <w:tcBorders>
                    <w:top w:val="single" w:color="auto" w:sz="4" w:space="0"/>
                    <w:left w:val="single" w:color="auto" w:sz="4" w:space="0"/>
                    <w:bottom w:val="single" w:color="auto" w:sz="4" w:space="0"/>
                    <w:right w:val="single" w:color="auto" w:sz="4" w:space="0"/>
                  </w:tcBorders>
                  <w:vAlign w:val="center"/>
                </w:tcPr>
                <w:p w14:paraId="71F9DF7A">
                  <w:pPr>
                    <w:numPr>
                      <w:ilvl w:val="0"/>
                      <w:numId w:val="7"/>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洒水泵流量(m³/h)</w:t>
                  </w:r>
                </w:p>
              </w:tc>
              <w:tc>
                <w:tcPr>
                  <w:tcW w:w="2679" w:type="pct"/>
                  <w:gridSpan w:val="2"/>
                  <w:tcBorders>
                    <w:top w:val="single" w:color="auto" w:sz="4" w:space="0"/>
                    <w:left w:val="single" w:color="auto" w:sz="4" w:space="0"/>
                    <w:bottom w:val="single" w:color="auto" w:sz="4" w:space="0"/>
                    <w:right w:val="single" w:color="auto" w:sz="4" w:space="0"/>
                  </w:tcBorders>
                  <w:vAlign w:val="center"/>
                </w:tcPr>
                <w:p w14:paraId="35AEE2A2">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w:t>
                  </w:r>
                </w:p>
              </w:tc>
            </w:tr>
            <w:tr w14:paraId="141D9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320" w:type="pct"/>
                  <w:tcBorders>
                    <w:top w:val="single" w:color="auto" w:sz="4" w:space="0"/>
                    <w:left w:val="single" w:color="auto" w:sz="4" w:space="0"/>
                    <w:bottom w:val="single" w:color="auto" w:sz="4" w:space="0"/>
                    <w:right w:val="single" w:color="auto" w:sz="4" w:space="0"/>
                  </w:tcBorders>
                  <w:vAlign w:val="center"/>
                </w:tcPr>
                <w:p w14:paraId="16A9659C">
                  <w:pPr>
                    <w:numPr>
                      <w:ilvl w:val="0"/>
                      <w:numId w:val="7"/>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清洗宽度（m）</w:t>
                  </w:r>
                </w:p>
              </w:tc>
              <w:tc>
                <w:tcPr>
                  <w:tcW w:w="2679" w:type="pct"/>
                  <w:gridSpan w:val="2"/>
                  <w:tcBorders>
                    <w:top w:val="single" w:color="auto" w:sz="4" w:space="0"/>
                    <w:left w:val="single" w:color="auto" w:sz="4" w:space="0"/>
                    <w:bottom w:val="single" w:color="auto" w:sz="4" w:space="0"/>
                    <w:right w:val="single" w:color="auto" w:sz="4" w:space="0"/>
                  </w:tcBorders>
                  <w:vAlign w:val="center"/>
                </w:tcPr>
                <w:p w14:paraId="2ACE9E10">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r>
            <w:tr w14:paraId="11B14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320" w:type="pct"/>
                  <w:tcBorders>
                    <w:top w:val="single" w:color="auto" w:sz="4" w:space="0"/>
                    <w:left w:val="single" w:color="auto" w:sz="4" w:space="0"/>
                    <w:bottom w:val="single" w:color="auto" w:sz="4" w:space="0"/>
                    <w:right w:val="single" w:color="auto" w:sz="4" w:space="0"/>
                  </w:tcBorders>
                  <w:vAlign w:val="center"/>
                </w:tcPr>
                <w:p w14:paraId="763843AF">
                  <w:pPr>
                    <w:numPr>
                      <w:ilvl w:val="0"/>
                      <w:numId w:val="7"/>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清洗速度（km/h）</w:t>
                  </w:r>
                </w:p>
              </w:tc>
              <w:tc>
                <w:tcPr>
                  <w:tcW w:w="2679" w:type="pct"/>
                  <w:gridSpan w:val="2"/>
                  <w:tcBorders>
                    <w:top w:val="single" w:color="auto" w:sz="4" w:space="0"/>
                    <w:left w:val="single" w:color="auto" w:sz="4" w:space="0"/>
                    <w:bottom w:val="single" w:color="auto" w:sz="4" w:space="0"/>
                    <w:right w:val="single" w:color="auto" w:sz="4" w:space="0"/>
                  </w:tcBorders>
                  <w:vAlign w:val="center"/>
                </w:tcPr>
                <w:p w14:paraId="0C8A21A3">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3～15</w:t>
                  </w:r>
                </w:p>
              </w:tc>
            </w:tr>
            <w:tr w14:paraId="72FC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320" w:type="pct"/>
                  <w:tcBorders>
                    <w:top w:val="single" w:color="auto" w:sz="4" w:space="0"/>
                    <w:left w:val="single" w:color="auto" w:sz="4" w:space="0"/>
                    <w:bottom w:val="single" w:color="auto" w:sz="4" w:space="0"/>
                    <w:right w:val="single" w:color="auto" w:sz="4" w:space="0"/>
                  </w:tcBorders>
                  <w:vAlign w:val="center"/>
                </w:tcPr>
                <w:p w14:paraId="7C2511B3">
                  <w:pPr>
                    <w:numPr>
                      <w:ilvl w:val="0"/>
                      <w:numId w:val="7"/>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冲洗宽度(m)</w:t>
                  </w:r>
                </w:p>
              </w:tc>
              <w:tc>
                <w:tcPr>
                  <w:tcW w:w="2679" w:type="pct"/>
                  <w:gridSpan w:val="2"/>
                  <w:tcBorders>
                    <w:top w:val="single" w:color="auto" w:sz="4" w:space="0"/>
                    <w:left w:val="single" w:color="auto" w:sz="4" w:space="0"/>
                    <w:bottom w:val="single" w:color="auto" w:sz="4" w:space="0"/>
                    <w:right w:val="single" w:color="auto" w:sz="4" w:space="0"/>
                  </w:tcBorders>
                  <w:vAlign w:val="center"/>
                </w:tcPr>
                <w:p w14:paraId="72D2BB46">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r>
            <w:tr w14:paraId="70E6A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320" w:type="pct"/>
                  <w:tcBorders>
                    <w:top w:val="single" w:color="auto" w:sz="4" w:space="0"/>
                    <w:left w:val="single" w:color="auto" w:sz="4" w:space="0"/>
                    <w:bottom w:val="single" w:color="auto" w:sz="4" w:space="0"/>
                    <w:right w:val="single" w:color="auto" w:sz="4" w:space="0"/>
                  </w:tcBorders>
                  <w:vAlign w:val="center"/>
                </w:tcPr>
                <w:p w14:paraId="2399E7FA">
                  <w:pPr>
                    <w:numPr>
                      <w:ilvl w:val="0"/>
                      <w:numId w:val="7"/>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后高喷射程(m)</w:t>
                  </w:r>
                </w:p>
              </w:tc>
              <w:tc>
                <w:tcPr>
                  <w:tcW w:w="2679" w:type="pct"/>
                  <w:gridSpan w:val="2"/>
                  <w:tcBorders>
                    <w:top w:val="single" w:color="auto" w:sz="4" w:space="0"/>
                    <w:left w:val="single" w:color="auto" w:sz="4" w:space="0"/>
                    <w:bottom w:val="single" w:color="auto" w:sz="4" w:space="0"/>
                    <w:right w:val="single" w:color="auto" w:sz="4" w:space="0"/>
                  </w:tcBorders>
                  <w:vAlign w:val="center"/>
                </w:tcPr>
                <w:p w14:paraId="3ADDE684">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w:t>
                  </w:r>
                </w:p>
              </w:tc>
            </w:tr>
            <w:tr w14:paraId="6FE5D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320" w:type="pct"/>
                  <w:tcBorders>
                    <w:top w:val="single" w:color="auto" w:sz="4" w:space="0"/>
                    <w:left w:val="single" w:color="auto" w:sz="4" w:space="0"/>
                    <w:bottom w:val="single" w:color="auto" w:sz="4" w:space="0"/>
                    <w:right w:val="single" w:color="auto" w:sz="4" w:space="0"/>
                  </w:tcBorders>
                  <w:vAlign w:val="center"/>
                </w:tcPr>
                <w:p w14:paraId="38D91EEB">
                  <w:pPr>
                    <w:numPr>
                      <w:ilvl w:val="0"/>
                      <w:numId w:val="7"/>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驾驶室调温措施</w:t>
                  </w:r>
                </w:p>
              </w:tc>
              <w:tc>
                <w:tcPr>
                  <w:tcW w:w="2679" w:type="pct"/>
                  <w:gridSpan w:val="2"/>
                  <w:tcBorders>
                    <w:top w:val="single" w:color="auto" w:sz="4" w:space="0"/>
                    <w:left w:val="single" w:color="auto" w:sz="4" w:space="0"/>
                    <w:bottom w:val="single" w:color="auto" w:sz="4" w:space="0"/>
                    <w:right w:val="single" w:color="auto" w:sz="4" w:space="0"/>
                  </w:tcBorders>
                  <w:vAlign w:val="center"/>
                </w:tcPr>
                <w:p w14:paraId="26B19101">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配原厂冷暖空调</w:t>
                  </w:r>
                </w:p>
              </w:tc>
            </w:tr>
          </w:tbl>
          <w:p w14:paraId="1185C72A">
            <w:pPr>
              <w:spacing w:line="5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二、主要功能要求</w:t>
            </w:r>
          </w:p>
          <w:p w14:paraId="3BBCFE2E">
            <w:pPr>
              <w:tabs>
                <w:tab w:val="left" w:pos="2127"/>
              </w:tabs>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1、整车动力系统采用双电机分别驱动高压水泵、自吸式双级离心泵，两套水路可单独使用，又能同时配合使用。</w:t>
            </w:r>
          </w:p>
          <w:p w14:paraId="4620C9DC">
            <w:pPr>
              <w:tabs>
                <w:tab w:val="left" w:pos="2127"/>
              </w:tabs>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2、前清洗喷水架作业清洗宽度不小于3m，可左右偏转，遇到前方障碍物，左右侧喷杆可向内收缩避让，越过障碍后自动恢复到正常工作位置。</w:t>
            </w:r>
          </w:p>
          <w:p w14:paraId="654999FB">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3、右侧清洗护栏装置可高压清洗路缘、护栏底座、道路护栏等。</w:t>
            </w:r>
          </w:p>
          <w:p w14:paraId="51E11D20">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4、自动卷盘可用快速接头连接，卷盘自带不少于20m长输水胶管。</w:t>
            </w:r>
          </w:p>
          <w:p w14:paraId="3DEDD729">
            <w:pPr>
              <w:tabs>
                <w:tab w:val="left" w:pos="2127"/>
              </w:tabs>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5、前冲洗装置由气动进行控制，可左右360，上下360范围内任意调节。</w:t>
            </w:r>
          </w:p>
          <w:p w14:paraId="3E90E22E">
            <w:pPr>
              <w:tabs>
                <w:tab w:val="left" w:pos="2127"/>
              </w:tabs>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6、左右柱状冲洗装置左右各一个圆锥喷嘴，双向冲洗，气动控制，喷嘴可左右360，上下360任意调整，中对冲可一次冲洗宽度不小于24米。</w:t>
            </w:r>
          </w:p>
          <w:p w14:paraId="105F960E">
            <w:pPr>
              <w:tabs>
                <w:tab w:val="left" w:pos="2127"/>
              </w:tabs>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7、后洒水装置采用气动控制后洒喷嘴的开启与关闭，同时开启两个后洒喷嘴时，洒水宽度不小于16米。</w:t>
            </w:r>
          </w:p>
          <w:p w14:paraId="782DFB16">
            <w:pPr>
              <w:tabs>
                <w:tab w:val="left" w:pos="2127"/>
              </w:tabs>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后高喷铝制远射程水枪，能喷洗多种高度的物体，清除一些不易清洗的环卫死角。高喷水枪可左右360旋转、枪体可上下俯仰操作。正反拧转枪体前部的调节套管，可调节水枪的喷射形状（柱状或雾状）及关闭水枪。还具有辅助消防功能。</w:t>
            </w:r>
          </w:p>
          <w:p w14:paraId="75FAD1D5">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9、车辆采用电气控制与手动控制相结合的控制模式。</w:t>
            </w:r>
          </w:p>
          <w:p w14:paraId="0C64C7BD">
            <w:pPr>
              <w:tabs>
                <w:tab w:val="left" w:pos="2127"/>
              </w:tabs>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10、罐体内部采用防波板缓冲结构设计，底架采用框架结构。</w:t>
            </w:r>
          </w:p>
          <w:p w14:paraId="0F347B67">
            <w:pPr>
              <w:tabs>
                <w:tab w:val="left" w:pos="2127"/>
              </w:tabs>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11、水泵、管路、水阀均设放水排干功能，避免产品在低温环境下冻裂损坏。</w:t>
            </w:r>
          </w:p>
          <w:p w14:paraId="56CEB403">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12、水罐设低水位报警系统，防止水泵缺水工作而损坏。</w:t>
            </w:r>
          </w:p>
          <w:p w14:paraId="7AED3565">
            <w:pPr>
              <w:spacing w:line="500" w:lineRule="exac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13、水罐内部采用环氧煤沥青漆专业防腐涂层，保证防腐效果。</w:t>
            </w:r>
          </w:p>
        </w:tc>
        <w:tc>
          <w:tcPr>
            <w:tcW w:w="1797" w:type="dxa"/>
            <w:tcBorders>
              <w:top w:val="single" w:color="000000" w:sz="4" w:space="0"/>
              <w:left w:val="nil"/>
              <w:bottom w:val="single" w:color="000000" w:sz="4" w:space="0"/>
              <w:right w:val="single" w:color="000000" w:sz="4" w:space="0"/>
            </w:tcBorders>
            <w:shd w:val="clear" w:color="auto" w:fill="auto"/>
            <w:vAlign w:val="center"/>
          </w:tcPr>
          <w:p w14:paraId="3CC1DA3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新能源车辆，包含牌照，一年保险（全险及商业三责险),车辆管理系统（车载北斗系统）</w:t>
            </w:r>
          </w:p>
        </w:tc>
      </w:tr>
      <w:tr w14:paraId="33F16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9"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13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CE6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18吨吸污车</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077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辆</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98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E04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98F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7500" w:type="dxa"/>
            <w:tcBorders>
              <w:top w:val="single" w:color="000000" w:sz="4" w:space="0"/>
              <w:left w:val="nil"/>
              <w:bottom w:val="single" w:color="000000" w:sz="4" w:space="0"/>
              <w:right w:val="single" w:color="000000" w:sz="4" w:space="0"/>
            </w:tcBorders>
            <w:shd w:val="clear" w:color="auto" w:fill="auto"/>
            <w:vAlign w:val="center"/>
          </w:tcPr>
          <w:tbl>
            <w:tblPr>
              <w:tblStyle w:val="16"/>
              <w:tblW w:w="721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3627"/>
              <w:gridCol w:w="3592"/>
            </w:tblGrid>
            <w:tr w14:paraId="16618E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357" w:hRule="atLeast"/>
                <w:jc w:val="center"/>
              </w:trPr>
              <w:tc>
                <w:tcPr>
                  <w:tcW w:w="3627" w:type="dxa"/>
                  <w:tcBorders>
                    <w:top w:val="single" w:color="auto" w:sz="6" w:space="0"/>
                    <w:left w:val="single" w:color="auto" w:sz="6" w:space="0"/>
                    <w:bottom w:val="single" w:color="auto" w:sz="6" w:space="0"/>
                    <w:right w:val="single" w:color="auto" w:sz="6" w:space="0"/>
                  </w:tcBorders>
                  <w:vAlign w:val="center"/>
                </w:tcPr>
                <w:p w14:paraId="0E6490C5">
                  <w:pPr>
                    <w:spacing w:line="50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序号、</w:t>
                  </w:r>
                  <w:r>
                    <w:rPr>
                      <w:rFonts w:hint="eastAsia" w:ascii="宋体" w:hAnsi="宋体" w:eastAsia="宋体" w:cs="宋体"/>
                      <w:color w:val="auto"/>
                      <w:sz w:val="21"/>
                      <w:szCs w:val="21"/>
                      <w:highlight w:val="none"/>
                    </w:rPr>
                    <w:t>项目</w:t>
                  </w:r>
                </w:p>
              </w:tc>
              <w:tc>
                <w:tcPr>
                  <w:tcW w:w="3592" w:type="dxa"/>
                  <w:tcBorders>
                    <w:top w:val="single" w:color="auto" w:sz="6" w:space="0"/>
                    <w:left w:val="single" w:color="auto" w:sz="6" w:space="0"/>
                    <w:bottom w:val="single" w:color="auto" w:sz="6" w:space="0"/>
                    <w:right w:val="single" w:color="auto" w:sz="6" w:space="0"/>
                  </w:tcBorders>
                  <w:vAlign w:val="center"/>
                </w:tcPr>
                <w:p w14:paraId="08DEB5B4">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参数</w:t>
                  </w:r>
                </w:p>
              </w:tc>
            </w:tr>
            <w:tr w14:paraId="2B1C9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94" w:hRule="atLeast"/>
                <w:jc w:val="center"/>
              </w:trPr>
              <w:tc>
                <w:tcPr>
                  <w:tcW w:w="3627" w:type="dxa"/>
                  <w:tcBorders>
                    <w:top w:val="single" w:color="auto" w:sz="6" w:space="0"/>
                    <w:left w:val="single" w:color="auto" w:sz="6" w:space="0"/>
                    <w:bottom w:val="single" w:color="auto" w:sz="6" w:space="0"/>
                    <w:right w:val="single" w:color="auto" w:sz="6" w:space="0"/>
                  </w:tcBorders>
                  <w:vAlign w:val="center"/>
                </w:tcPr>
                <w:p w14:paraId="30E6A090">
                  <w:pPr>
                    <w:numPr>
                      <w:ilvl w:val="0"/>
                      <w:numId w:val="8"/>
                    </w:numPr>
                    <w:spacing w:line="48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底盘类别</w:t>
                  </w:r>
                </w:p>
              </w:tc>
              <w:tc>
                <w:tcPr>
                  <w:tcW w:w="3592" w:type="dxa"/>
                  <w:tcBorders>
                    <w:top w:val="single" w:color="auto" w:sz="6" w:space="0"/>
                    <w:left w:val="single" w:color="auto" w:sz="6" w:space="0"/>
                    <w:bottom w:val="single" w:color="auto" w:sz="6" w:space="0"/>
                    <w:right w:val="single" w:color="auto" w:sz="6" w:space="0"/>
                  </w:tcBorders>
                  <w:vAlign w:val="center"/>
                </w:tcPr>
                <w:p w14:paraId="11BB56D5">
                  <w:pPr>
                    <w:spacing w:line="4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二类载货汽车底盘</w:t>
                  </w:r>
                </w:p>
              </w:tc>
            </w:tr>
            <w:tr w14:paraId="7AF126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jc w:val="center"/>
              </w:trPr>
              <w:tc>
                <w:tcPr>
                  <w:tcW w:w="3627" w:type="dxa"/>
                  <w:tcBorders>
                    <w:top w:val="single" w:color="auto" w:sz="6" w:space="0"/>
                    <w:left w:val="single" w:color="auto" w:sz="6" w:space="0"/>
                    <w:bottom w:val="single" w:color="auto" w:sz="6" w:space="0"/>
                    <w:right w:val="single" w:color="auto" w:sz="6" w:space="0"/>
                  </w:tcBorders>
                  <w:vAlign w:val="center"/>
                </w:tcPr>
                <w:p w14:paraId="135E706C">
                  <w:pPr>
                    <w:numPr>
                      <w:ilvl w:val="0"/>
                      <w:numId w:val="8"/>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底盘驱动电机峰值功率(kw)</w:t>
                  </w:r>
                </w:p>
              </w:tc>
              <w:tc>
                <w:tcPr>
                  <w:tcW w:w="3592" w:type="dxa"/>
                  <w:tcBorders>
                    <w:top w:val="single" w:color="auto" w:sz="6" w:space="0"/>
                    <w:left w:val="single" w:color="auto" w:sz="6" w:space="0"/>
                    <w:bottom w:val="single" w:color="auto" w:sz="6" w:space="0"/>
                    <w:right w:val="single" w:color="auto" w:sz="6" w:space="0"/>
                  </w:tcBorders>
                  <w:vAlign w:val="center"/>
                </w:tcPr>
                <w:p w14:paraId="4D7410CD">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≥160</w:t>
                  </w:r>
                </w:p>
              </w:tc>
            </w:tr>
            <w:tr w14:paraId="2D2260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jc w:val="center"/>
              </w:trPr>
              <w:tc>
                <w:tcPr>
                  <w:tcW w:w="3627" w:type="dxa"/>
                  <w:tcBorders>
                    <w:top w:val="single" w:color="auto" w:sz="6" w:space="0"/>
                    <w:left w:val="single" w:color="auto" w:sz="6" w:space="0"/>
                    <w:bottom w:val="single" w:color="auto" w:sz="6" w:space="0"/>
                    <w:right w:val="single" w:color="auto" w:sz="6" w:space="0"/>
                  </w:tcBorders>
                  <w:vAlign w:val="center"/>
                </w:tcPr>
                <w:p w14:paraId="1A10F5AD">
                  <w:pPr>
                    <w:numPr>
                      <w:ilvl w:val="0"/>
                      <w:numId w:val="8"/>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底盘电池容量（kWh）</w:t>
                  </w:r>
                </w:p>
              </w:tc>
              <w:tc>
                <w:tcPr>
                  <w:tcW w:w="3592" w:type="dxa"/>
                  <w:tcBorders>
                    <w:top w:val="single" w:color="auto" w:sz="6" w:space="0"/>
                    <w:left w:val="single" w:color="auto" w:sz="6" w:space="0"/>
                    <w:bottom w:val="single" w:color="auto" w:sz="6" w:space="0"/>
                    <w:right w:val="single" w:color="auto" w:sz="6" w:space="0"/>
                  </w:tcBorders>
                  <w:vAlign w:val="center"/>
                </w:tcPr>
                <w:p w14:paraId="5C6BD772">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w:t>
                  </w:r>
                </w:p>
              </w:tc>
            </w:tr>
            <w:tr w14:paraId="3BC21B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jc w:val="center"/>
              </w:trPr>
              <w:tc>
                <w:tcPr>
                  <w:tcW w:w="3627" w:type="dxa"/>
                  <w:tcBorders>
                    <w:top w:val="single" w:color="auto" w:sz="6" w:space="0"/>
                    <w:left w:val="single" w:color="auto" w:sz="6" w:space="0"/>
                    <w:bottom w:val="single" w:color="auto" w:sz="6" w:space="0"/>
                    <w:right w:val="single" w:color="auto" w:sz="6" w:space="0"/>
                  </w:tcBorders>
                  <w:vAlign w:val="center"/>
                </w:tcPr>
                <w:p w14:paraId="162135EB">
                  <w:pPr>
                    <w:numPr>
                      <w:ilvl w:val="0"/>
                      <w:numId w:val="8"/>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底盘电池能量密度（Wh/kg）</w:t>
                  </w:r>
                </w:p>
              </w:tc>
              <w:tc>
                <w:tcPr>
                  <w:tcW w:w="3592" w:type="dxa"/>
                  <w:tcBorders>
                    <w:top w:val="single" w:color="auto" w:sz="6" w:space="0"/>
                    <w:left w:val="single" w:color="auto" w:sz="6" w:space="0"/>
                    <w:bottom w:val="single" w:color="auto" w:sz="6" w:space="0"/>
                    <w:right w:val="single" w:color="auto" w:sz="6" w:space="0"/>
                  </w:tcBorders>
                  <w:vAlign w:val="center"/>
                </w:tcPr>
                <w:p w14:paraId="19B58C74">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r>
            <w:tr w14:paraId="148BB3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jc w:val="center"/>
              </w:trPr>
              <w:tc>
                <w:tcPr>
                  <w:tcW w:w="3627" w:type="dxa"/>
                  <w:tcBorders>
                    <w:top w:val="single" w:color="auto" w:sz="6" w:space="0"/>
                    <w:left w:val="single" w:color="auto" w:sz="6" w:space="0"/>
                    <w:bottom w:val="single" w:color="auto" w:sz="6" w:space="0"/>
                    <w:right w:val="single" w:color="auto" w:sz="6" w:space="0"/>
                  </w:tcBorders>
                  <w:vAlign w:val="center"/>
                </w:tcPr>
                <w:p w14:paraId="3B8F5E18">
                  <w:pPr>
                    <w:numPr>
                      <w:ilvl w:val="0"/>
                      <w:numId w:val="8"/>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续航里程（km）</w:t>
                  </w:r>
                </w:p>
              </w:tc>
              <w:tc>
                <w:tcPr>
                  <w:tcW w:w="3592" w:type="dxa"/>
                  <w:tcBorders>
                    <w:top w:val="single" w:color="auto" w:sz="6" w:space="0"/>
                    <w:left w:val="single" w:color="auto" w:sz="6" w:space="0"/>
                    <w:bottom w:val="single" w:color="auto" w:sz="6" w:space="0"/>
                    <w:right w:val="single" w:color="auto" w:sz="6" w:space="0"/>
                  </w:tcBorders>
                  <w:vAlign w:val="center"/>
                </w:tcPr>
                <w:p w14:paraId="4636792E">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≥250</w:t>
                  </w:r>
                </w:p>
              </w:tc>
            </w:tr>
            <w:tr w14:paraId="6601CD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jc w:val="center"/>
              </w:trPr>
              <w:tc>
                <w:tcPr>
                  <w:tcW w:w="3627" w:type="dxa"/>
                  <w:tcBorders>
                    <w:top w:val="single" w:color="auto" w:sz="6" w:space="0"/>
                    <w:left w:val="single" w:color="auto" w:sz="6" w:space="0"/>
                    <w:bottom w:val="single" w:color="auto" w:sz="6" w:space="0"/>
                    <w:right w:val="single" w:color="auto" w:sz="6" w:space="0"/>
                  </w:tcBorders>
                  <w:vAlign w:val="center"/>
                </w:tcPr>
                <w:p w14:paraId="497D78F3">
                  <w:pPr>
                    <w:numPr>
                      <w:ilvl w:val="0"/>
                      <w:numId w:val="8"/>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底盘电池种类</w:t>
                  </w:r>
                </w:p>
              </w:tc>
              <w:tc>
                <w:tcPr>
                  <w:tcW w:w="3592" w:type="dxa"/>
                  <w:tcBorders>
                    <w:top w:val="single" w:color="auto" w:sz="6" w:space="0"/>
                    <w:left w:val="single" w:color="auto" w:sz="6" w:space="0"/>
                    <w:bottom w:val="single" w:color="auto" w:sz="6" w:space="0"/>
                    <w:right w:val="single" w:color="auto" w:sz="6" w:space="0"/>
                  </w:tcBorders>
                  <w:vAlign w:val="center"/>
                </w:tcPr>
                <w:p w14:paraId="33401242">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磷酸铁锂电池</w:t>
                  </w:r>
                </w:p>
              </w:tc>
            </w:tr>
            <w:tr w14:paraId="6E1D6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jc w:val="center"/>
              </w:trPr>
              <w:tc>
                <w:tcPr>
                  <w:tcW w:w="3627" w:type="dxa"/>
                  <w:tcBorders>
                    <w:top w:val="single" w:color="auto" w:sz="6" w:space="0"/>
                    <w:left w:val="single" w:color="auto" w:sz="6" w:space="0"/>
                    <w:bottom w:val="single" w:color="auto" w:sz="6" w:space="0"/>
                    <w:right w:val="single" w:color="auto" w:sz="6" w:space="0"/>
                  </w:tcBorders>
                  <w:vAlign w:val="center"/>
                </w:tcPr>
                <w:p w14:paraId="409F1145">
                  <w:pPr>
                    <w:numPr>
                      <w:ilvl w:val="0"/>
                      <w:numId w:val="8"/>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满载最大总质量(kg)</w:t>
                  </w:r>
                </w:p>
              </w:tc>
              <w:tc>
                <w:tcPr>
                  <w:tcW w:w="3592" w:type="dxa"/>
                  <w:tcBorders>
                    <w:top w:val="single" w:color="auto" w:sz="6" w:space="0"/>
                    <w:left w:val="single" w:color="auto" w:sz="6" w:space="0"/>
                    <w:bottom w:val="single" w:color="auto" w:sz="6" w:space="0"/>
                    <w:right w:val="single" w:color="auto" w:sz="6" w:space="0"/>
                  </w:tcBorders>
                  <w:vAlign w:val="center"/>
                </w:tcPr>
                <w:p w14:paraId="0550173C">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18000（±500）</w:t>
                  </w:r>
                </w:p>
              </w:tc>
            </w:tr>
            <w:tr w14:paraId="6F9D69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jc w:val="center"/>
              </w:trPr>
              <w:tc>
                <w:tcPr>
                  <w:tcW w:w="3627" w:type="dxa"/>
                  <w:tcBorders>
                    <w:top w:val="single" w:color="auto" w:sz="6" w:space="0"/>
                    <w:left w:val="single" w:color="auto" w:sz="6" w:space="0"/>
                    <w:bottom w:val="single" w:color="auto" w:sz="6" w:space="0"/>
                    <w:right w:val="single" w:color="auto" w:sz="6" w:space="0"/>
                  </w:tcBorders>
                  <w:vAlign w:val="center"/>
                </w:tcPr>
                <w:p w14:paraId="5413CE95">
                  <w:pPr>
                    <w:numPr>
                      <w:ilvl w:val="0"/>
                      <w:numId w:val="8"/>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额定载质量(kg)</w:t>
                  </w:r>
                </w:p>
              </w:tc>
              <w:tc>
                <w:tcPr>
                  <w:tcW w:w="3592" w:type="dxa"/>
                  <w:tcBorders>
                    <w:top w:val="single" w:color="auto" w:sz="6" w:space="0"/>
                    <w:left w:val="single" w:color="auto" w:sz="6" w:space="0"/>
                    <w:bottom w:val="single" w:color="auto" w:sz="6" w:space="0"/>
                    <w:right w:val="single" w:color="auto" w:sz="6" w:space="0"/>
                  </w:tcBorders>
                  <w:vAlign w:val="center"/>
                </w:tcPr>
                <w:p w14:paraId="68D1317E">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≥6000</w:t>
                  </w:r>
                </w:p>
              </w:tc>
            </w:tr>
            <w:tr w14:paraId="7621E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jc w:val="center"/>
              </w:trPr>
              <w:tc>
                <w:tcPr>
                  <w:tcW w:w="3627" w:type="dxa"/>
                  <w:tcBorders>
                    <w:top w:val="single" w:color="auto" w:sz="6" w:space="0"/>
                    <w:left w:val="single" w:color="auto" w:sz="6" w:space="0"/>
                    <w:bottom w:val="single" w:color="auto" w:sz="6" w:space="0"/>
                    <w:right w:val="single" w:color="auto" w:sz="6" w:space="0"/>
                  </w:tcBorders>
                  <w:vAlign w:val="center"/>
                </w:tcPr>
                <w:p w14:paraId="3F3CA48D">
                  <w:pPr>
                    <w:numPr>
                      <w:ilvl w:val="0"/>
                      <w:numId w:val="8"/>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整备质量(kg)</w:t>
                  </w:r>
                </w:p>
              </w:tc>
              <w:tc>
                <w:tcPr>
                  <w:tcW w:w="3592" w:type="dxa"/>
                  <w:tcBorders>
                    <w:top w:val="single" w:color="auto" w:sz="6" w:space="0"/>
                    <w:left w:val="single" w:color="auto" w:sz="6" w:space="0"/>
                    <w:bottom w:val="single" w:color="auto" w:sz="6" w:space="0"/>
                    <w:right w:val="single" w:color="auto" w:sz="6" w:space="0"/>
                  </w:tcBorders>
                  <w:vAlign w:val="center"/>
                </w:tcPr>
                <w:p w14:paraId="515F3777">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≥9900</w:t>
                  </w:r>
                </w:p>
              </w:tc>
            </w:tr>
            <w:tr w14:paraId="5F240A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jc w:val="center"/>
              </w:trPr>
              <w:tc>
                <w:tcPr>
                  <w:tcW w:w="3627" w:type="dxa"/>
                  <w:tcBorders>
                    <w:top w:val="single" w:color="auto" w:sz="6" w:space="0"/>
                    <w:left w:val="single" w:color="auto" w:sz="6" w:space="0"/>
                    <w:bottom w:val="single" w:color="auto" w:sz="6" w:space="0"/>
                    <w:right w:val="single" w:color="auto" w:sz="6" w:space="0"/>
                  </w:tcBorders>
                  <w:vAlign w:val="center"/>
                </w:tcPr>
                <w:p w14:paraId="6EBCD9B3">
                  <w:pPr>
                    <w:numPr>
                      <w:ilvl w:val="0"/>
                      <w:numId w:val="8"/>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外形尺寸长×宽×高（mm）</w:t>
                  </w:r>
                </w:p>
              </w:tc>
              <w:tc>
                <w:tcPr>
                  <w:tcW w:w="3592" w:type="dxa"/>
                  <w:tcBorders>
                    <w:top w:val="single" w:color="auto" w:sz="6" w:space="0"/>
                    <w:left w:val="single" w:color="auto" w:sz="6" w:space="0"/>
                    <w:bottom w:val="single" w:color="auto" w:sz="6" w:space="0"/>
                    <w:right w:val="single" w:color="auto" w:sz="6" w:space="0"/>
                  </w:tcBorders>
                  <w:vAlign w:val="center"/>
                </w:tcPr>
                <w:p w14:paraId="6379B735">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≥7800×2500×3300</w:t>
                  </w:r>
                </w:p>
              </w:tc>
            </w:tr>
            <w:tr w14:paraId="1D5F4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jc w:val="center"/>
              </w:trPr>
              <w:tc>
                <w:tcPr>
                  <w:tcW w:w="3627" w:type="dxa"/>
                  <w:tcBorders>
                    <w:top w:val="single" w:color="auto" w:sz="6" w:space="0"/>
                    <w:left w:val="single" w:color="auto" w:sz="6" w:space="0"/>
                    <w:bottom w:val="single" w:color="auto" w:sz="6" w:space="0"/>
                    <w:right w:val="single" w:color="auto" w:sz="6" w:space="0"/>
                  </w:tcBorders>
                  <w:vAlign w:val="center"/>
                </w:tcPr>
                <w:p w14:paraId="4FC704BB">
                  <w:pPr>
                    <w:numPr>
                      <w:ilvl w:val="0"/>
                      <w:numId w:val="8"/>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前悬/后悬（mm）</w:t>
                  </w:r>
                </w:p>
              </w:tc>
              <w:tc>
                <w:tcPr>
                  <w:tcW w:w="3592" w:type="dxa"/>
                  <w:tcBorders>
                    <w:top w:val="single" w:color="auto" w:sz="6" w:space="0"/>
                    <w:left w:val="single" w:color="auto" w:sz="6" w:space="0"/>
                    <w:bottom w:val="single" w:color="auto" w:sz="6" w:space="0"/>
                    <w:right w:val="single" w:color="auto" w:sz="6" w:space="0"/>
                  </w:tcBorders>
                  <w:vAlign w:val="center"/>
                </w:tcPr>
                <w:p w14:paraId="4DA1C9A7">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≤1450/2600</w:t>
                  </w:r>
                </w:p>
              </w:tc>
            </w:tr>
            <w:tr w14:paraId="7F8BB9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jc w:val="center"/>
              </w:trPr>
              <w:tc>
                <w:tcPr>
                  <w:tcW w:w="3627" w:type="dxa"/>
                  <w:tcBorders>
                    <w:top w:val="single" w:color="auto" w:sz="6" w:space="0"/>
                    <w:left w:val="single" w:color="auto" w:sz="6" w:space="0"/>
                    <w:bottom w:val="single" w:color="auto" w:sz="6" w:space="0"/>
                    <w:right w:val="single" w:color="auto" w:sz="6" w:space="0"/>
                  </w:tcBorders>
                  <w:vAlign w:val="center"/>
                </w:tcPr>
                <w:p w14:paraId="15287D00">
                  <w:pPr>
                    <w:numPr>
                      <w:ilvl w:val="0"/>
                      <w:numId w:val="8"/>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接近角/离去角（°）</w:t>
                  </w:r>
                </w:p>
              </w:tc>
              <w:tc>
                <w:tcPr>
                  <w:tcW w:w="3592" w:type="dxa"/>
                  <w:tcBorders>
                    <w:top w:val="single" w:color="auto" w:sz="6" w:space="0"/>
                    <w:left w:val="single" w:color="auto" w:sz="6" w:space="0"/>
                    <w:bottom w:val="single" w:color="auto" w:sz="6" w:space="0"/>
                    <w:right w:val="single" w:color="auto" w:sz="6" w:space="0"/>
                  </w:tcBorders>
                  <w:vAlign w:val="center"/>
                </w:tcPr>
                <w:p w14:paraId="4181C9AF">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≥12/10</w:t>
                  </w:r>
                </w:p>
              </w:tc>
            </w:tr>
            <w:tr w14:paraId="5603AC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jc w:val="center"/>
              </w:trPr>
              <w:tc>
                <w:tcPr>
                  <w:tcW w:w="3627" w:type="dxa"/>
                  <w:tcBorders>
                    <w:top w:val="single" w:color="auto" w:sz="6" w:space="0"/>
                    <w:left w:val="single" w:color="auto" w:sz="6" w:space="0"/>
                    <w:bottom w:val="single" w:color="auto" w:sz="6" w:space="0"/>
                    <w:right w:val="single" w:color="auto" w:sz="6" w:space="0"/>
                  </w:tcBorders>
                  <w:vAlign w:val="center"/>
                </w:tcPr>
                <w:p w14:paraId="3435CACD">
                  <w:pPr>
                    <w:numPr>
                      <w:ilvl w:val="0"/>
                      <w:numId w:val="8"/>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最高车速（km/h）</w:t>
                  </w:r>
                </w:p>
              </w:tc>
              <w:tc>
                <w:tcPr>
                  <w:tcW w:w="3592" w:type="dxa"/>
                  <w:tcBorders>
                    <w:top w:val="single" w:color="auto" w:sz="6" w:space="0"/>
                    <w:left w:val="single" w:color="auto" w:sz="6" w:space="0"/>
                    <w:bottom w:val="single" w:color="auto" w:sz="6" w:space="0"/>
                    <w:right w:val="single" w:color="auto" w:sz="6" w:space="0"/>
                  </w:tcBorders>
                  <w:vAlign w:val="center"/>
                </w:tcPr>
                <w:p w14:paraId="21A32C30">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≥77</w:t>
                  </w:r>
                </w:p>
              </w:tc>
            </w:tr>
            <w:tr w14:paraId="68A71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jc w:val="center"/>
              </w:trPr>
              <w:tc>
                <w:tcPr>
                  <w:tcW w:w="3627" w:type="dxa"/>
                  <w:tcBorders>
                    <w:top w:val="single" w:color="auto" w:sz="6" w:space="0"/>
                    <w:left w:val="single" w:color="auto" w:sz="6" w:space="0"/>
                    <w:bottom w:val="single" w:color="auto" w:sz="6" w:space="0"/>
                    <w:right w:val="single" w:color="auto" w:sz="6" w:space="0"/>
                  </w:tcBorders>
                  <w:vAlign w:val="center"/>
                </w:tcPr>
                <w:p w14:paraId="1B44EA6D">
                  <w:pPr>
                    <w:numPr>
                      <w:ilvl w:val="0"/>
                      <w:numId w:val="8"/>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轴距（mm）</w:t>
                  </w:r>
                </w:p>
              </w:tc>
              <w:tc>
                <w:tcPr>
                  <w:tcW w:w="3592" w:type="dxa"/>
                  <w:tcBorders>
                    <w:top w:val="single" w:color="auto" w:sz="6" w:space="0"/>
                    <w:left w:val="single" w:color="auto" w:sz="6" w:space="0"/>
                    <w:bottom w:val="single" w:color="auto" w:sz="6" w:space="0"/>
                    <w:right w:val="single" w:color="auto" w:sz="6" w:space="0"/>
                  </w:tcBorders>
                  <w:vAlign w:val="center"/>
                </w:tcPr>
                <w:p w14:paraId="6F23C3AB">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≤5200</w:t>
                  </w:r>
                </w:p>
              </w:tc>
            </w:tr>
            <w:tr w14:paraId="3AE05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jc w:val="center"/>
              </w:trPr>
              <w:tc>
                <w:tcPr>
                  <w:tcW w:w="3627" w:type="dxa"/>
                  <w:tcBorders>
                    <w:top w:val="single" w:color="auto" w:sz="6" w:space="0"/>
                    <w:left w:val="single" w:color="auto" w:sz="6" w:space="0"/>
                    <w:bottom w:val="single" w:color="auto" w:sz="6" w:space="0"/>
                    <w:right w:val="single" w:color="auto" w:sz="6" w:space="0"/>
                  </w:tcBorders>
                  <w:vAlign w:val="center"/>
                </w:tcPr>
                <w:p w14:paraId="7652866F">
                  <w:pPr>
                    <w:numPr>
                      <w:ilvl w:val="0"/>
                      <w:numId w:val="8"/>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系统最大真空度（MPa）</w:t>
                  </w:r>
                </w:p>
              </w:tc>
              <w:tc>
                <w:tcPr>
                  <w:tcW w:w="3592" w:type="dxa"/>
                  <w:tcBorders>
                    <w:top w:val="single" w:color="auto" w:sz="6" w:space="0"/>
                    <w:left w:val="single" w:color="auto" w:sz="6" w:space="0"/>
                    <w:bottom w:val="single" w:color="auto" w:sz="6" w:space="0"/>
                    <w:right w:val="single" w:color="auto" w:sz="6" w:space="0"/>
                  </w:tcBorders>
                  <w:vAlign w:val="center"/>
                </w:tcPr>
                <w:p w14:paraId="12D6B67C">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≤-0.085</w:t>
                  </w:r>
                </w:p>
              </w:tc>
            </w:tr>
            <w:tr w14:paraId="5A198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jc w:val="center"/>
              </w:trPr>
              <w:tc>
                <w:tcPr>
                  <w:tcW w:w="3627" w:type="dxa"/>
                  <w:tcBorders>
                    <w:top w:val="single" w:color="auto" w:sz="6" w:space="0"/>
                    <w:left w:val="single" w:color="auto" w:sz="6" w:space="0"/>
                    <w:bottom w:val="single" w:color="auto" w:sz="6" w:space="0"/>
                    <w:right w:val="single" w:color="auto" w:sz="6" w:space="0"/>
                  </w:tcBorders>
                  <w:vAlign w:val="center"/>
                </w:tcPr>
                <w:p w14:paraId="2B3C2E03">
                  <w:pPr>
                    <w:numPr>
                      <w:ilvl w:val="0"/>
                      <w:numId w:val="8"/>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真空泵流量(m³/min)</w:t>
                  </w:r>
                </w:p>
              </w:tc>
              <w:tc>
                <w:tcPr>
                  <w:tcW w:w="3592" w:type="dxa"/>
                  <w:tcBorders>
                    <w:top w:val="single" w:color="auto" w:sz="6" w:space="0"/>
                    <w:left w:val="single" w:color="auto" w:sz="6" w:space="0"/>
                    <w:bottom w:val="single" w:color="auto" w:sz="6" w:space="0"/>
                    <w:right w:val="single" w:color="auto" w:sz="6" w:space="0"/>
                  </w:tcBorders>
                  <w:vAlign w:val="center"/>
                </w:tcPr>
                <w:p w14:paraId="22FBA805">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r>
            <w:tr w14:paraId="3A17E8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jc w:val="center"/>
              </w:trPr>
              <w:tc>
                <w:tcPr>
                  <w:tcW w:w="3627" w:type="dxa"/>
                  <w:tcBorders>
                    <w:top w:val="single" w:color="auto" w:sz="6" w:space="0"/>
                    <w:left w:val="single" w:color="auto" w:sz="6" w:space="0"/>
                    <w:bottom w:val="single" w:color="auto" w:sz="6" w:space="0"/>
                    <w:right w:val="single" w:color="auto" w:sz="6" w:space="0"/>
                  </w:tcBorders>
                  <w:vAlign w:val="center"/>
                </w:tcPr>
                <w:p w14:paraId="6ECB21E4">
                  <w:pPr>
                    <w:numPr>
                      <w:ilvl w:val="0"/>
                      <w:numId w:val="8"/>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有效吸程(m)</w:t>
                  </w:r>
                </w:p>
              </w:tc>
              <w:tc>
                <w:tcPr>
                  <w:tcW w:w="3592" w:type="dxa"/>
                  <w:tcBorders>
                    <w:top w:val="single" w:color="auto" w:sz="6" w:space="0"/>
                    <w:left w:val="single" w:color="auto" w:sz="6" w:space="0"/>
                    <w:bottom w:val="single" w:color="auto" w:sz="6" w:space="0"/>
                    <w:right w:val="single" w:color="auto" w:sz="6" w:space="0"/>
                  </w:tcBorders>
                  <w:vAlign w:val="center"/>
                </w:tcPr>
                <w:p w14:paraId="03B6637C">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r>
            <w:tr w14:paraId="5A6D9A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jc w:val="center"/>
              </w:trPr>
              <w:tc>
                <w:tcPr>
                  <w:tcW w:w="3627" w:type="dxa"/>
                  <w:tcBorders>
                    <w:top w:val="single" w:color="auto" w:sz="6" w:space="0"/>
                    <w:left w:val="single" w:color="auto" w:sz="6" w:space="0"/>
                    <w:bottom w:val="single" w:color="auto" w:sz="6" w:space="0"/>
                    <w:right w:val="single" w:color="auto" w:sz="6" w:space="0"/>
                  </w:tcBorders>
                  <w:vAlign w:val="center"/>
                </w:tcPr>
                <w:p w14:paraId="7BFF43BC">
                  <w:pPr>
                    <w:numPr>
                      <w:ilvl w:val="0"/>
                      <w:numId w:val="8"/>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满罐抽吸时间(min)</w:t>
                  </w:r>
                </w:p>
              </w:tc>
              <w:tc>
                <w:tcPr>
                  <w:tcW w:w="3592" w:type="dxa"/>
                  <w:tcBorders>
                    <w:top w:val="single" w:color="auto" w:sz="6" w:space="0"/>
                    <w:left w:val="single" w:color="auto" w:sz="6" w:space="0"/>
                    <w:bottom w:val="single" w:color="auto" w:sz="6" w:space="0"/>
                    <w:right w:val="single" w:color="auto" w:sz="6" w:space="0"/>
                  </w:tcBorders>
                  <w:vAlign w:val="center"/>
                </w:tcPr>
                <w:p w14:paraId="5EDA1B0D">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r>
            <w:tr w14:paraId="52525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jc w:val="center"/>
              </w:trPr>
              <w:tc>
                <w:tcPr>
                  <w:tcW w:w="3627" w:type="dxa"/>
                  <w:tcBorders>
                    <w:top w:val="single" w:color="auto" w:sz="6" w:space="0"/>
                    <w:left w:val="single" w:color="auto" w:sz="6" w:space="0"/>
                    <w:bottom w:val="single" w:color="auto" w:sz="6" w:space="0"/>
                    <w:right w:val="single" w:color="auto" w:sz="6" w:space="0"/>
                  </w:tcBorders>
                  <w:vAlign w:val="center"/>
                </w:tcPr>
                <w:p w14:paraId="01581B24">
                  <w:pPr>
                    <w:numPr>
                      <w:ilvl w:val="0"/>
                      <w:numId w:val="8"/>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吸污管内径(mm)</w:t>
                  </w:r>
                </w:p>
              </w:tc>
              <w:tc>
                <w:tcPr>
                  <w:tcW w:w="3592" w:type="dxa"/>
                  <w:tcBorders>
                    <w:top w:val="single" w:color="auto" w:sz="6" w:space="0"/>
                    <w:left w:val="single" w:color="auto" w:sz="6" w:space="0"/>
                    <w:bottom w:val="single" w:color="auto" w:sz="6" w:space="0"/>
                    <w:right w:val="single" w:color="auto" w:sz="6" w:space="0"/>
                  </w:tcBorders>
                  <w:vAlign w:val="center"/>
                </w:tcPr>
                <w:p w14:paraId="32D2CD38">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≥110（下吸口）</w:t>
                  </w:r>
                </w:p>
                <w:p w14:paraId="6529DE49">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≥125（上吸口）</w:t>
                  </w:r>
                </w:p>
              </w:tc>
            </w:tr>
            <w:tr w14:paraId="11AF78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jc w:val="center"/>
              </w:trPr>
              <w:tc>
                <w:tcPr>
                  <w:tcW w:w="3627" w:type="dxa"/>
                  <w:tcBorders>
                    <w:top w:val="single" w:color="auto" w:sz="6" w:space="0"/>
                    <w:left w:val="single" w:color="auto" w:sz="6" w:space="0"/>
                    <w:bottom w:val="single" w:color="auto" w:sz="6" w:space="0"/>
                    <w:right w:val="single" w:color="auto" w:sz="6" w:space="0"/>
                  </w:tcBorders>
                  <w:vAlign w:val="center"/>
                </w:tcPr>
                <w:p w14:paraId="3D18FDF1">
                  <w:pPr>
                    <w:numPr>
                      <w:ilvl w:val="0"/>
                      <w:numId w:val="8"/>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污水罐有效容积(m³)</w:t>
                  </w:r>
                </w:p>
              </w:tc>
              <w:tc>
                <w:tcPr>
                  <w:tcW w:w="3592" w:type="dxa"/>
                  <w:tcBorders>
                    <w:top w:val="single" w:color="auto" w:sz="6" w:space="0"/>
                    <w:left w:val="single" w:color="auto" w:sz="6" w:space="0"/>
                    <w:bottom w:val="single" w:color="auto" w:sz="6" w:space="0"/>
                    <w:right w:val="single" w:color="auto" w:sz="6" w:space="0"/>
                  </w:tcBorders>
                  <w:vAlign w:val="center"/>
                </w:tcPr>
                <w:p w14:paraId="2B03977B">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w:t>
                  </w:r>
                </w:p>
              </w:tc>
            </w:tr>
            <w:tr w14:paraId="75C4CE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jc w:val="center"/>
              </w:trPr>
              <w:tc>
                <w:tcPr>
                  <w:tcW w:w="3627" w:type="dxa"/>
                  <w:tcBorders>
                    <w:top w:val="single" w:color="auto" w:sz="6" w:space="0"/>
                    <w:left w:val="single" w:color="auto" w:sz="6" w:space="0"/>
                    <w:bottom w:val="single" w:color="auto" w:sz="6" w:space="0"/>
                    <w:right w:val="single" w:color="auto" w:sz="6" w:space="0"/>
                  </w:tcBorders>
                  <w:vAlign w:val="center"/>
                </w:tcPr>
                <w:p w14:paraId="0A2377EE">
                  <w:pPr>
                    <w:numPr>
                      <w:ilvl w:val="0"/>
                      <w:numId w:val="8"/>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污水罐最大举升角()</w:t>
                  </w:r>
                </w:p>
              </w:tc>
              <w:tc>
                <w:tcPr>
                  <w:tcW w:w="3592" w:type="dxa"/>
                  <w:tcBorders>
                    <w:top w:val="single" w:color="auto" w:sz="6" w:space="0"/>
                    <w:left w:val="single" w:color="auto" w:sz="6" w:space="0"/>
                    <w:bottom w:val="single" w:color="auto" w:sz="6" w:space="0"/>
                    <w:right w:val="single" w:color="auto" w:sz="6" w:space="0"/>
                  </w:tcBorders>
                  <w:vAlign w:val="center"/>
                </w:tcPr>
                <w:p w14:paraId="5348C37A">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w:t>
                  </w:r>
                </w:p>
              </w:tc>
            </w:tr>
            <w:tr w14:paraId="6CFA62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jc w:val="center"/>
              </w:trPr>
              <w:tc>
                <w:tcPr>
                  <w:tcW w:w="3627" w:type="dxa"/>
                  <w:tcBorders>
                    <w:top w:val="single" w:color="auto" w:sz="6" w:space="0"/>
                    <w:left w:val="single" w:color="auto" w:sz="6" w:space="0"/>
                    <w:bottom w:val="single" w:color="auto" w:sz="6" w:space="0"/>
                    <w:right w:val="single" w:color="auto" w:sz="6" w:space="0"/>
                  </w:tcBorders>
                  <w:vAlign w:val="center"/>
                </w:tcPr>
                <w:p w14:paraId="3B7DC7B0">
                  <w:pPr>
                    <w:numPr>
                      <w:ilvl w:val="0"/>
                      <w:numId w:val="8"/>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清洗机最高水压（MPa）</w:t>
                  </w:r>
                </w:p>
              </w:tc>
              <w:tc>
                <w:tcPr>
                  <w:tcW w:w="3592" w:type="dxa"/>
                  <w:tcBorders>
                    <w:top w:val="single" w:color="auto" w:sz="6" w:space="0"/>
                    <w:left w:val="single" w:color="auto" w:sz="6" w:space="0"/>
                    <w:bottom w:val="single" w:color="auto" w:sz="6" w:space="0"/>
                    <w:right w:val="single" w:color="auto" w:sz="6" w:space="0"/>
                  </w:tcBorders>
                  <w:vAlign w:val="center"/>
                </w:tcPr>
                <w:p w14:paraId="64D8E768">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r>
            <w:tr w14:paraId="37EB03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jc w:val="center"/>
              </w:trPr>
              <w:tc>
                <w:tcPr>
                  <w:tcW w:w="3627" w:type="dxa"/>
                  <w:tcBorders>
                    <w:top w:val="single" w:color="auto" w:sz="6" w:space="0"/>
                    <w:left w:val="single" w:color="auto" w:sz="6" w:space="0"/>
                    <w:bottom w:val="single" w:color="auto" w:sz="6" w:space="0"/>
                    <w:right w:val="single" w:color="auto" w:sz="6" w:space="0"/>
                  </w:tcBorders>
                  <w:vAlign w:val="center"/>
                </w:tcPr>
                <w:p w14:paraId="0F0D7856">
                  <w:pPr>
                    <w:numPr>
                      <w:ilvl w:val="0"/>
                      <w:numId w:val="8"/>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清洗机最大流量（L/min）</w:t>
                  </w:r>
                </w:p>
              </w:tc>
              <w:tc>
                <w:tcPr>
                  <w:tcW w:w="3592" w:type="dxa"/>
                  <w:tcBorders>
                    <w:top w:val="single" w:color="auto" w:sz="6" w:space="0"/>
                    <w:left w:val="single" w:color="auto" w:sz="6" w:space="0"/>
                    <w:bottom w:val="single" w:color="auto" w:sz="6" w:space="0"/>
                    <w:right w:val="single" w:color="auto" w:sz="6" w:space="0"/>
                  </w:tcBorders>
                  <w:vAlign w:val="center"/>
                </w:tcPr>
                <w:p w14:paraId="67234689">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r>
            <w:tr w14:paraId="06CCFB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jc w:val="center"/>
              </w:trPr>
              <w:tc>
                <w:tcPr>
                  <w:tcW w:w="3627" w:type="dxa"/>
                  <w:tcBorders>
                    <w:top w:val="single" w:color="auto" w:sz="6" w:space="0"/>
                    <w:left w:val="single" w:color="auto" w:sz="6" w:space="0"/>
                    <w:bottom w:val="single" w:color="auto" w:sz="6" w:space="0"/>
                    <w:right w:val="single" w:color="auto" w:sz="6" w:space="0"/>
                  </w:tcBorders>
                  <w:vAlign w:val="center"/>
                </w:tcPr>
                <w:p w14:paraId="3CBEA66F">
                  <w:pPr>
                    <w:numPr>
                      <w:ilvl w:val="0"/>
                      <w:numId w:val="8"/>
                    </w:numPr>
                    <w:spacing w:line="500" w:lineRule="exact"/>
                    <w:ind w:left="0" w:leftChars="0" w:firstLine="40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清水箱容积（L）</w:t>
                  </w:r>
                </w:p>
              </w:tc>
              <w:tc>
                <w:tcPr>
                  <w:tcW w:w="3592" w:type="dxa"/>
                  <w:tcBorders>
                    <w:top w:val="single" w:color="auto" w:sz="6" w:space="0"/>
                    <w:left w:val="single" w:color="auto" w:sz="6" w:space="0"/>
                    <w:bottom w:val="single" w:color="auto" w:sz="6" w:space="0"/>
                    <w:right w:val="single" w:color="auto" w:sz="6" w:space="0"/>
                  </w:tcBorders>
                  <w:vAlign w:val="center"/>
                </w:tcPr>
                <w:p w14:paraId="7558D268">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≥400</w:t>
                  </w:r>
                </w:p>
              </w:tc>
            </w:tr>
          </w:tbl>
          <w:p w14:paraId="6081AEA4">
            <w:pPr>
              <w:tabs>
                <w:tab w:val="left" w:pos="540"/>
              </w:tabs>
              <w:spacing w:line="5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二、主要功能要求</w:t>
            </w:r>
          </w:p>
          <w:p w14:paraId="7D316716">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1、可广泛应用于下水道、雨水井、化粪池及各种沟渠内的污泥、粪便或石油化工污水池淤积物的抽吸与运送。</w:t>
            </w:r>
          </w:p>
          <w:p w14:paraId="46E26CD6">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2、配备后门启闭锁紧装置，带安全保护的液压系统，双保险机构确保垃圾箱体与后门胶条可靠密封，保证污水在收运过程中处于密闭状态。</w:t>
            </w:r>
          </w:p>
          <w:p w14:paraId="45DF86EF">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3、污水罐液位显示采用进口液位显示装置，吸污口、排污口均采用进口刀阀。</w:t>
            </w:r>
          </w:p>
          <w:p w14:paraId="00D5F8E1">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4、车辆采用电气控制与手动控制相结合的控制模式。</w:t>
            </w:r>
          </w:p>
          <w:p w14:paraId="5119D25A">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5、设置防溢阀、过压安全阀、满罐报警等多重安全装置，避免罐体吸过头或者反排时压力过高等情况，确保真空泵的正常工作以及工作人员的人身安全。</w:t>
            </w:r>
          </w:p>
          <w:p w14:paraId="5A3FC760">
            <w:pPr>
              <w:spacing w:line="500" w:lineRule="exac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6、配备清洗装置，用于整车外观冲洗。</w:t>
            </w:r>
          </w:p>
        </w:tc>
        <w:tc>
          <w:tcPr>
            <w:tcW w:w="1797" w:type="dxa"/>
            <w:tcBorders>
              <w:top w:val="single" w:color="000000" w:sz="4" w:space="0"/>
              <w:left w:val="nil"/>
              <w:bottom w:val="single" w:color="000000" w:sz="4" w:space="0"/>
              <w:right w:val="single" w:color="000000" w:sz="4" w:space="0"/>
            </w:tcBorders>
            <w:shd w:val="clear" w:color="auto" w:fill="auto"/>
            <w:vAlign w:val="center"/>
          </w:tcPr>
          <w:p w14:paraId="55922B2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新能源车辆，包含牌照，一年保险（全险及商业三责险),车辆管理系统（车载北斗系统）</w:t>
            </w:r>
          </w:p>
        </w:tc>
      </w:tr>
      <w:tr w14:paraId="3BD22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338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五标段</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817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18吨深度洗扫车</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4EC0A">
            <w:pPr>
              <w:jc w:val="center"/>
              <w:rPr>
                <w:rFonts w:hint="eastAsia" w:ascii="宋体" w:hAnsi="宋体" w:eastAsia="宋体" w:cs="宋体"/>
                <w:i w:val="0"/>
                <w:iCs w:val="0"/>
                <w:color w:val="auto"/>
                <w:sz w:val="21"/>
                <w:szCs w:val="21"/>
                <w:highlight w:val="none"/>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7C6C4">
            <w:pPr>
              <w:jc w:val="center"/>
              <w:rPr>
                <w:rFonts w:hint="eastAsia" w:ascii="宋体" w:hAnsi="宋体" w:eastAsia="宋体" w:cs="宋体"/>
                <w:i w:val="0"/>
                <w:iCs w:val="0"/>
                <w:color w:val="auto"/>
                <w:sz w:val="21"/>
                <w:szCs w:val="21"/>
                <w:highlight w:val="none"/>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6E7D8">
            <w:pPr>
              <w:jc w:val="center"/>
              <w:rPr>
                <w:rFonts w:hint="eastAsia" w:ascii="宋体" w:hAnsi="宋体" w:eastAsia="宋体" w:cs="宋体"/>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85B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263.6</w:t>
            </w:r>
          </w:p>
        </w:tc>
        <w:tc>
          <w:tcPr>
            <w:tcW w:w="7500" w:type="dxa"/>
            <w:tcBorders>
              <w:top w:val="single" w:color="000000" w:sz="4" w:space="0"/>
              <w:left w:val="nil"/>
              <w:bottom w:val="single" w:color="000000" w:sz="4" w:space="0"/>
              <w:right w:val="single" w:color="000000" w:sz="4" w:space="0"/>
            </w:tcBorders>
            <w:shd w:val="clear" w:color="auto" w:fill="auto"/>
            <w:vAlign w:val="center"/>
          </w:tcPr>
          <w:p w14:paraId="1566E511">
            <w:pPr>
              <w:rPr>
                <w:rFonts w:hint="eastAsia" w:ascii="宋体" w:hAnsi="宋体" w:eastAsia="宋体" w:cs="宋体"/>
                <w:i w:val="0"/>
                <w:iCs w:val="0"/>
                <w:color w:val="auto"/>
                <w:sz w:val="21"/>
                <w:szCs w:val="21"/>
                <w:highlight w:val="none"/>
                <w:u w:val="none"/>
              </w:rPr>
            </w:pPr>
          </w:p>
        </w:tc>
        <w:tc>
          <w:tcPr>
            <w:tcW w:w="1797" w:type="dxa"/>
            <w:tcBorders>
              <w:top w:val="single" w:color="000000" w:sz="4" w:space="0"/>
              <w:left w:val="nil"/>
              <w:bottom w:val="single" w:color="000000" w:sz="4" w:space="0"/>
              <w:right w:val="single" w:color="000000" w:sz="4" w:space="0"/>
            </w:tcBorders>
            <w:shd w:val="clear" w:color="auto" w:fill="auto"/>
            <w:vAlign w:val="center"/>
          </w:tcPr>
          <w:p w14:paraId="51A94DD2">
            <w:pPr>
              <w:rPr>
                <w:rFonts w:hint="eastAsia" w:ascii="宋体" w:hAnsi="宋体" w:eastAsia="宋体" w:cs="宋体"/>
                <w:i w:val="0"/>
                <w:iCs w:val="0"/>
                <w:color w:val="auto"/>
                <w:sz w:val="21"/>
                <w:szCs w:val="21"/>
                <w:highlight w:val="none"/>
                <w:u w:val="none"/>
                <w:lang w:eastAsia="zh-CN"/>
              </w:rPr>
            </w:pPr>
            <w:r>
              <w:rPr>
                <w:rFonts w:hint="eastAsia" w:ascii="宋体" w:hAnsi="宋体" w:cs="宋体"/>
                <w:i w:val="0"/>
                <w:iCs w:val="0"/>
                <w:color w:val="auto"/>
                <w:sz w:val="21"/>
                <w:szCs w:val="21"/>
                <w:highlight w:val="none"/>
                <w:u w:val="none"/>
                <w:lang w:eastAsia="zh-CN"/>
              </w:rPr>
              <w:t>所有车辆附带充电桩、电缆线，含安装调试</w:t>
            </w:r>
          </w:p>
        </w:tc>
      </w:tr>
      <w:tr w14:paraId="72AD0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9"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A3A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0A7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18吨深度洗扫车</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52F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辆</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58C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F21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263.6</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018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263.6</w:t>
            </w:r>
          </w:p>
        </w:tc>
        <w:tc>
          <w:tcPr>
            <w:tcW w:w="7500" w:type="dxa"/>
            <w:tcBorders>
              <w:top w:val="single" w:color="000000" w:sz="4" w:space="0"/>
              <w:left w:val="nil"/>
              <w:bottom w:val="single" w:color="000000" w:sz="4" w:space="0"/>
              <w:right w:val="single" w:color="000000" w:sz="4" w:space="0"/>
            </w:tcBorders>
            <w:shd w:val="clear" w:color="auto" w:fill="auto"/>
            <w:vAlign w:val="center"/>
          </w:tcPr>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0"/>
              <w:gridCol w:w="3099"/>
            </w:tblGrid>
            <w:tr w14:paraId="49794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0" w:type="dxa"/>
                  <w:noWrap w:val="0"/>
                  <w:vAlign w:val="center"/>
                </w:tcPr>
                <w:p w14:paraId="7EA713EA">
                  <w:pPr>
                    <w:keepNext w:val="0"/>
                    <w:keepLines w:val="0"/>
                    <w:widowControl/>
                    <w:suppressLineNumbers w:val="0"/>
                    <w:jc w:val="center"/>
                    <w:rPr>
                      <w:rFonts w:hint="eastAsia" w:ascii="宋体" w:hAnsi="宋体" w:eastAsia="宋体" w:cs="宋体"/>
                      <w:b/>
                      <w:bCs/>
                      <w:color w:val="auto"/>
                      <w:kern w:val="0"/>
                      <w:sz w:val="21"/>
                      <w:szCs w:val="21"/>
                      <w:highlight w:val="none"/>
                      <w:vertAlign w:val="baseline"/>
                      <w:lang w:val="en-US" w:eastAsia="zh-CN" w:bidi="ar"/>
                    </w:rPr>
                  </w:pPr>
                  <w:r>
                    <w:rPr>
                      <w:rFonts w:hint="eastAsia" w:ascii="宋体" w:hAnsi="宋体" w:eastAsia="宋体" w:cs="宋体"/>
                      <w:b/>
                      <w:bCs/>
                      <w:color w:val="auto"/>
                      <w:kern w:val="0"/>
                      <w:sz w:val="21"/>
                      <w:szCs w:val="21"/>
                      <w:highlight w:val="none"/>
                      <w:lang w:val="en-US" w:eastAsia="zh-CN" w:bidi="ar"/>
                    </w:rPr>
                    <w:t>技术指标</w:t>
                  </w:r>
                </w:p>
              </w:tc>
              <w:tc>
                <w:tcPr>
                  <w:tcW w:w="3099" w:type="dxa"/>
                  <w:noWrap w:val="0"/>
                  <w:vAlign w:val="center"/>
                </w:tcPr>
                <w:p w14:paraId="65DE183A">
                  <w:pPr>
                    <w:keepNext w:val="0"/>
                    <w:keepLines w:val="0"/>
                    <w:widowControl/>
                    <w:suppressLineNumbers w:val="0"/>
                    <w:jc w:val="center"/>
                    <w:rPr>
                      <w:rFonts w:hint="eastAsia" w:ascii="宋体" w:hAnsi="宋体" w:eastAsia="宋体" w:cs="宋体"/>
                      <w:b/>
                      <w:bCs/>
                      <w:color w:val="auto"/>
                      <w:kern w:val="0"/>
                      <w:sz w:val="21"/>
                      <w:szCs w:val="21"/>
                      <w:highlight w:val="none"/>
                      <w:vertAlign w:val="baseline"/>
                      <w:lang w:val="en-US" w:eastAsia="zh-CN" w:bidi="ar"/>
                    </w:rPr>
                  </w:pPr>
                  <w:r>
                    <w:rPr>
                      <w:rFonts w:hint="eastAsia" w:ascii="宋体" w:hAnsi="宋体" w:eastAsia="宋体" w:cs="宋体"/>
                      <w:b/>
                      <w:bCs/>
                      <w:color w:val="auto"/>
                      <w:kern w:val="0"/>
                      <w:sz w:val="21"/>
                      <w:szCs w:val="21"/>
                      <w:highlight w:val="none"/>
                      <w:lang w:val="en-US" w:eastAsia="zh-CN" w:bidi="ar"/>
                    </w:rPr>
                    <w:t>满足条款</w:t>
                  </w:r>
                </w:p>
              </w:tc>
            </w:tr>
            <w:tr w14:paraId="6BCD0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0" w:type="dxa"/>
                  <w:noWrap w:val="0"/>
                  <w:vAlign w:val="center"/>
                </w:tcPr>
                <w:p w14:paraId="5558DEA7">
                  <w:pPr>
                    <w:keepNext w:val="0"/>
                    <w:keepLines w:val="0"/>
                    <w:widowControl/>
                    <w:numPr>
                      <w:ilvl w:val="0"/>
                      <w:numId w:val="9"/>
                    </w:numPr>
                    <w:suppressLineNumbers w:val="0"/>
                    <w:ind w:left="0" w:leftChars="0" w:firstLine="40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总质量(kg)</w:t>
                  </w:r>
                </w:p>
              </w:tc>
              <w:tc>
                <w:tcPr>
                  <w:tcW w:w="3099" w:type="dxa"/>
                  <w:noWrap w:val="0"/>
                  <w:vAlign w:val="center"/>
                </w:tcPr>
                <w:p w14:paraId="7F1837F3">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≥18000</w:t>
                  </w:r>
                </w:p>
              </w:tc>
            </w:tr>
            <w:tr w14:paraId="54A09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0" w:type="dxa"/>
                  <w:noWrap w:val="0"/>
                  <w:vAlign w:val="center"/>
                </w:tcPr>
                <w:p w14:paraId="628EABC5">
                  <w:pPr>
                    <w:keepNext w:val="0"/>
                    <w:keepLines w:val="0"/>
                    <w:widowControl/>
                    <w:numPr>
                      <w:ilvl w:val="0"/>
                      <w:numId w:val="9"/>
                    </w:numPr>
                    <w:suppressLineNumbers w:val="0"/>
                    <w:ind w:left="0" w:leftChars="0" w:firstLine="40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燃油类型</w:t>
                  </w:r>
                </w:p>
              </w:tc>
              <w:tc>
                <w:tcPr>
                  <w:tcW w:w="3099" w:type="dxa"/>
                  <w:noWrap w:val="0"/>
                  <w:vAlign w:val="center"/>
                </w:tcPr>
                <w:p w14:paraId="40D87419">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纯电动</w:t>
                  </w:r>
                </w:p>
              </w:tc>
            </w:tr>
            <w:tr w14:paraId="261DB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0" w:type="dxa"/>
                  <w:noWrap w:val="0"/>
                  <w:vAlign w:val="center"/>
                </w:tcPr>
                <w:p w14:paraId="448E1CC5">
                  <w:pPr>
                    <w:keepNext w:val="0"/>
                    <w:keepLines w:val="0"/>
                    <w:widowControl/>
                    <w:numPr>
                      <w:ilvl w:val="0"/>
                      <w:numId w:val="9"/>
                    </w:numPr>
                    <w:suppressLineNumbers w:val="0"/>
                    <w:ind w:left="0" w:leftChars="0" w:firstLine="40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电池类型</w:t>
                  </w:r>
                </w:p>
              </w:tc>
              <w:tc>
                <w:tcPr>
                  <w:tcW w:w="3099" w:type="dxa"/>
                  <w:noWrap w:val="0"/>
                  <w:vAlign w:val="center"/>
                </w:tcPr>
                <w:p w14:paraId="0DE3DC9E">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磷酸铁锂电池或更优</w:t>
                  </w:r>
                </w:p>
              </w:tc>
            </w:tr>
            <w:tr w14:paraId="4DB62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0" w:type="dxa"/>
                  <w:noWrap w:val="0"/>
                  <w:vAlign w:val="center"/>
                </w:tcPr>
                <w:p w14:paraId="2E310D3F">
                  <w:pPr>
                    <w:keepNext w:val="0"/>
                    <w:keepLines w:val="0"/>
                    <w:widowControl/>
                    <w:numPr>
                      <w:ilvl w:val="0"/>
                      <w:numId w:val="9"/>
                    </w:numPr>
                    <w:suppressLineNumbers w:val="0"/>
                    <w:ind w:left="0" w:leftChars="0" w:firstLine="40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电池容量(kwh)</w:t>
                  </w:r>
                </w:p>
              </w:tc>
              <w:tc>
                <w:tcPr>
                  <w:tcW w:w="3099" w:type="dxa"/>
                  <w:noWrap w:val="0"/>
                  <w:vAlign w:val="center"/>
                </w:tcPr>
                <w:p w14:paraId="713832D2">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≥300</w:t>
                  </w:r>
                </w:p>
              </w:tc>
            </w:tr>
            <w:tr w14:paraId="276E8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0" w:type="dxa"/>
                  <w:vMerge w:val="restart"/>
                  <w:noWrap w:val="0"/>
                  <w:vAlign w:val="center"/>
                </w:tcPr>
                <w:p w14:paraId="76B370BA">
                  <w:pPr>
                    <w:keepNext w:val="0"/>
                    <w:keepLines w:val="0"/>
                    <w:widowControl/>
                    <w:numPr>
                      <w:ilvl w:val="0"/>
                      <w:numId w:val="9"/>
                    </w:numPr>
                    <w:suppressLineNumbers w:val="0"/>
                    <w:ind w:left="0" w:leftChars="0" w:firstLine="40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整车外形尺寸(mm)</w:t>
                  </w:r>
                </w:p>
              </w:tc>
              <w:tc>
                <w:tcPr>
                  <w:tcW w:w="3099" w:type="dxa"/>
                  <w:noWrap w:val="0"/>
                  <w:vAlign w:val="center"/>
                </w:tcPr>
                <w:p w14:paraId="3D7604D8">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长≥9000</w:t>
                  </w:r>
                </w:p>
              </w:tc>
            </w:tr>
            <w:tr w14:paraId="0DEBA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0" w:type="dxa"/>
                  <w:vMerge w:val="continue"/>
                  <w:noWrap w:val="0"/>
                  <w:vAlign w:val="center"/>
                </w:tcPr>
                <w:p w14:paraId="50A6F54E">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p>
              </w:tc>
              <w:tc>
                <w:tcPr>
                  <w:tcW w:w="3099" w:type="dxa"/>
                  <w:noWrap w:val="0"/>
                  <w:vAlign w:val="center"/>
                </w:tcPr>
                <w:p w14:paraId="631E9B42">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宽≤2550</w:t>
                  </w:r>
                </w:p>
              </w:tc>
            </w:tr>
            <w:tr w14:paraId="37AFE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0" w:type="dxa"/>
                  <w:vMerge w:val="continue"/>
                  <w:noWrap w:val="0"/>
                  <w:vAlign w:val="center"/>
                </w:tcPr>
                <w:p w14:paraId="0D2FA0AF">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p>
              </w:tc>
              <w:tc>
                <w:tcPr>
                  <w:tcW w:w="3099" w:type="dxa"/>
                  <w:noWrap w:val="0"/>
                  <w:vAlign w:val="center"/>
                </w:tcPr>
                <w:p w14:paraId="70B0395F">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高≤3200</w:t>
                  </w:r>
                </w:p>
              </w:tc>
            </w:tr>
            <w:tr w14:paraId="66E23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0" w:type="dxa"/>
                  <w:noWrap w:val="0"/>
                  <w:vAlign w:val="center"/>
                </w:tcPr>
                <w:p w14:paraId="79111D20">
                  <w:pPr>
                    <w:keepNext w:val="0"/>
                    <w:keepLines w:val="0"/>
                    <w:widowControl/>
                    <w:numPr>
                      <w:ilvl w:val="0"/>
                      <w:numId w:val="9"/>
                    </w:numPr>
                    <w:suppressLineNumbers w:val="0"/>
                    <w:ind w:left="0" w:leftChars="0" w:firstLine="40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整备质量(kg)</w:t>
                  </w:r>
                </w:p>
              </w:tc>
              <w:tc>
                <w:tcPr>
                  <w:tcW w:w="3099" w:type="dxa"/>
                  <w:noWrap w:val="0"/>
                  <w:vAlign w:val="center"/>
                </w:tcPr>
                <w:p w14:paraId="397F84E9">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≥13100</w:t>
                  </w:r>
                </w:p>
              </w:tc>
            </w:tr>
            <w:tr w14:paraId="61153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0" w:type="dxa"/>
                  <w:noWrap w:val="0"/>
                  <w:vAlign w:val="center"/>
                </w:tcPr>
                <w:p w14:paraId="7EEB9861">
                  <w:pPr>
                    <w:keepNext w:val="0"/>
                    <w:keepLines w:val="0"/>
                    <w:widowControl/>
                    <w:numPr>
                      <w:ilvl w:val="0"/>
                      <w:numId w:val="9"/>
                    </w:numPr>
                    <w:suppressLineNumbers w:val="0"/>
                    <w:ind w:left="0" w:leftChars="0" w:firstLine="40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额定载质量(kg)</w:t>
                  </w:r>
                </w:p>
              </w:tc>
              <w:tc>
                <w:tcPr>
                  <w:tcW w:w="3099" w:type="dxa"/>
                  <w:noWrap w:val="0"/>
                  <w:vAlign w:val="center"/>
                </w:tcPr>
                <w:p w14:paraId="46A5A751">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≥2700</w:t>
                  </w:r>
                </w:p>
              </w:tc>
            </w:tr>
            <w:tr w14:paraId="6B4EE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0" w:type="dxa"/>
                  <w:noWrap w:val="0"/>
                  <w:vAlign w:val="center"/>
                </w:tcPr>
                <w:p w14:paraId="2ADB43DE">
                  <w:pPr>
                    <w:keepNext w:val="0"/>
                    <w:keepLines w:val="0"/>
                    <w:widowControl/>
                    <w:numPr>
                      <w:ilvl w:val="0"/>
                      <w:numId w:val="9"/>
                    </w:numPr>
                    <w:suppressLineNumbers w:val="0"/>
                    <w:ind w:left="0" w:leftChars="0" w:firstLine="40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轴距(mm)</w:t>
                  </w:r>
                </w:p>
              </w:tc>
              <w:tc>
                <w:tcPr>
                  <w:tcW w:w="3099" w:type="dxa"/>
                  <w:noWrap w:val="0"/>
                  <w:vAlign w:val="center"/>
                </w:tcPr>
                <w:p w14:paraId="4D8D2126">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≥5000</w:t>
                  </w:r>
                </w:p>
              </w:tc>
            </w:tr>
            <w:tr w14:paraId="5C81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0" w:type="dxa"/>
                  <w:noWrap w:val="0"/>
                  <w:vAlign w:val="center"/>
                </w:tcPr>
                <w:p w14:paraId="7DDADDE8">
                  <w:pPr>
                    <w:keepNext w:val="0"/>
                    <w:keepLines w:val="0"/>
                    <w:widowControl/>
                    <w:numPr>
                      <w:ilvl w:val="0"/>
                      <w:numId w:val="9"/>
                    </w:numPr>
                    <w:suppressLineNumbers w:val="0"/>
                    <w:ind w:left="0" w:leftChars="0" w:firstLine="40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储料仓容积(m³)</w:t>
                  </w:r>
                </w:p>
              </w:tc>
              <w:tc>
                <w:tcPr>
                  <w:tcW w:w="3099" w:type="dxa"/>
                  <w:noWrap w:val="0"/>
                  <w:vAlign w:val="center"/>
                </w:tcPr>
                <w:p w14:paraId="04AECBB2">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≥6.8</w:t>
                  </w:r>
                </w:p>
              </w:tc>
            </w:tr>
            <w:tr w14:paraId="6FBE1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0" w:type="dxa"/>
                  <w:noWrap w:val="0"/>
                  <w:vAlign w:val="center"/>
                </w:tcPr>
                <w:p w14:paraId="49882BF4">
                  <w:pPr>
                    <w:keepNext w:val="0"/>
                    <w:keepLines w:val="0"/>
                    <w:widowControl/>
                    <w:numPr>
                      <w:ilvl w:val="0"/>
                      <w:numId w:val="9"/>
                    </w:numPr>
                    <w:suppressLineNumbers w:val="0"/>
                    <w:ind w:left="0" w:leftChars="0" w:firstLine="40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清水箱容积(m³)</w:t>
                  </w:r>
                </w:p>
              </w:tc>
              <w:tc>
                <w:tcPr>
                  <w:tcW w:w="3099" w:type="dxa"/>
                  <w:noWrap w:val="0"/>
                  <w:vAlign w:val="center"/>
                </w:tcPr>
                <w:p w14:paraId="653A4663">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≥4.6</w:t>
                  </w:r>
                </w:p>
              </w:tc>
            </w:tr>
            <w:tr w14:paraId="634FF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0" w:type="dxa"/>
                  <w:noWrap w:val="0"/>
                  <w:vAlign w:val="center"/>
                </w:tcPr>
                <w:p w14:paraId="0DD8490D">
                  <w:pPr>
                    <w:keepNext w:val="0"/>
                    <w:keepLines w:val="0"/>
                    <w:widowControl/>
                    <w:numPr>
                      <w:ilvl w:val="0"/>
                      <w:numId w:val="9"/>
                    </w:numPr>
                    <w:suppressLineNumbers w:val="0"/>
                    <w:ind w:left="0" w:leftChars="0" w:firstLine="40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高压水系统最大压力(Mpa)</w:t>
                  </w:r>
                </w:p>
              </w:tc>
              <w:tc>
                <w:tcPr>
                  <w:tcW w:w="3099" w:type="dxa"/>
                  <w:noWrap w:val="0"/>
                  <w:vAlign w:val="center"/>
                </w:tcPr>
                <w:p w14:paraId="379096CE">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≥20</w:t>
                  </w:r>
                </w:p>
              </w:tc>
            </w:tr>
            <w:tr w14:paraId="31E1A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0" w:type="dxa"/>
                  <w:noWrap w:val="0"/>
                  <w:vAlign w:val="center"/>
                </w:tcPr>
                <w:p w14:paraId="321DC084">
                  <w:pPr>
                    <w:keepNext w:val="0"/>
                    <w:keepLines w:val="0"/>
                    <w:widowControl/>
                    <w:numPr>
                      <w:ilvl w:val="0"/>
                      <w:numId w:val="9"/>
                    </w:numPr>
                    <w:suppressLineNumbers w:val="0"/>
                    <w:ind w:left="0" w:leftChars="0" w:firstLine="40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工作速度(km/h)</w:t>
                  </w:r>
                </w:p>
              </w:tc>
              <w:tc>
                <w:tcPr>
                  <w:tcW w:w="3099" w:type="dxa"/>
                  <w:noWrap w:val="0"/>
                  <w:vAlign w:val="center"/>
                </w:tcPr>
                <w:p w14:paraId="19E0F453">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深度作业1-10洗扫作业1-20</w:t>
                  </w:r>
                </w:p>
              </w:tc>
            </w:tr>
            <w:tr w14:paraId="74109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0" w:type="dxa"/>
                  <w:noWrap w:val="0"/>
                  <w:vAlign w:val="center"/>
                </w:tcPr>
                <w:p w14:paraId="73EFF234">
                  <w:pPr>
                    <w:keepNext w:val="0"/>
                    <w:keepLines w:val="0"/>
                    <w:widowControl/>
                    <w:numPr>
                      <w:ilvl w:val="0"/>
                      <w:numId w:val="9"/>
                    </w:numPr>
                    <w:suppressLineNumbers w:val="0"/>
                    <w:ind w:left="0" w:leftChars="0" w:firstLine="40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污染清除作业宽度(mm)</w:t>
                  </w:r>
                </w:p>
              </w:tc>
              <w:tc>
                <w:tcPr>
                  <w:tcW w:w="3099" w:type="dxa"/>
                  <w:noWrap w:val="0"/>
                  <w:vAlign w:val="center"/>
                </w:tcPr>
                <w:p w14:paraId="7FAC6361">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≥2500</w:t>
                  </w:r>
                </w:p>
              </w:tc>
            </w:tr>
            <w:tr w14:paraId="26474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0" w:type="dxa"/>
                  <w:noWrap w:val="0"/>
                  <w:vAlign w:val="center"/>
                </w:tcPr>
                <w:p w14:paraId="02691FF5">
                  <w:pPr>
                    <w:widowControl/>
                    <w:numPr>
                      <w:ilvl w:val="0"/>
                      <w:numId w:val="9"/>
                    </w:numPr>
                    <w:spacing w:before="100" w:beforeAutospacing="1" w:after="100" w:afterAutospacing="1"/>
                    <w:ind w:left="0" w:leftChars="0" w:firstLine="40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rPr>
                    <w:t>清水箱/污水箱材质</w:t>
                  </w:r>
                </w:p>
              </w:tc>
              <w:tc>
                <w:tcPr>
                  <w:tcW w:w="3099" w:type="dxa"/>
                  <w:noWrap w:val="0"/>
                  <w:vAlign w:val="center"/>
                </w:tcPr>
                <w:p w14:paraId="4B375BE8">
                  <w:pPr>
                    <w:widowControl/>
                    <w:spacing w:before="100" w:beforeAutospacing="1" w:after="100" w:afterAutospacing="1"/>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rPr>
                    <w:t>不锈钢/不锈钢</w:t>
                  </w:r>
                </w:p>
              </w:tc>
            </w:tr>
          </w:tbl>
          <w:p w14:paraId="3445E99A">
            <w:pPr>
              <w:numPr>
                <w:ilvl w:val="0"/>
                <w:numId w:val="0"/>
              </w:numPr>
              <w:bidi w:val="0"/>
              <w:spacing w:line="24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主要性能</w:t>
            </w:r>
          </w:p>
          <w:p w14:paraId="17793332">
            <w:pPr>
              <w:keepNext w:val="0"/>
              <w:keepLines w:val="0"/>
              <w:pageBreakBefore w:val="0"/>
              <w:numPr>
                <w:ilvl w:val="0"/>
                <w:numId w:val="1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44"/>
                <w:sz w:val="21"/>
                <w:szCs w:val="21"/>
                <w:highlight w:val="none"/>
                <w:lang w:val="en-US" w:eastAsia="zh-CN"/>
              </w:rPr>
              <w:t>纯电动驱动电机、整车控制器防护等级达到IP67，电池防护等级达到IP67，为了保证车辆电池的安全，电池需要设计单独的箱体。</w:t>
            </w:r>
          </w:p>
          <w:p w14:paraId="06561E8E">
            <w:pPr>
              <w:keepNext w:val="0"/>
              <w:keepLines w:val="0"/>
              <w:pageBreakBefore w:val="0"/>
              <w:numPr>
                <w:ilvl w:val="0"/>
                <w:numId w:val="1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具有涡轮装置或系统，产生超强的剥离与清除能力，可深度清洁道路表面和缝隙的粉尘以及沉积物，对渣土覆盖路面和渣土板结的路面可以完全清除;具备完全恢复普通道路的机能的能力（摩擦力、降噪、排水等机能恢复）。作业后路面基本保持干燥状态，无任何二次污染。</w:t>
            </w:r>
          </w:p>
          <w:p w14:paraId="25F00554">
            <w:pPr>
              <w:keepNext w:val="0"/>
              <w:keepLines w:val="0"/>
              <w:pageBreakBefore w:val="0"/>
              <w:numPr>
                <w:ilvl w:val="0"/>
                <w:numId w:val="1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高压射流清扫装置左右横移：具备左右横移功能且带智能防撞功能</w:t>
            </w:r>
            <w:r>
              <w:rPr>
                <w:rFonts w:hint="eastAsia" w:ascii="宋体" w:hAnsi="宋体" w:eastAsia="宋体" w:cs="宋体"/>
                <w:b w:val="0"/>
                <w:bCs w:val="0"/>
                <w:color w:val="auto"/>
                <w:sz w:val="21"/>
                <w:szCs w:val="21"/>
                <w:highlight w:val="none"/>
                <w:lang w:eastAsia="zh-CN"/>
              </w:rPr>
              <w:t>。</w:t>
            </w:r>
          </w:p>
          <w:p w14:paraId="1B729FDD">
            <w:pPr>
              <w:keepNext w:val="0"/>
              <w:keepLines w:val="0"/>
              <w:pageBreakBefore w:val="0"/>
              <w:numPr>
                <w:ilvl w:val="0"/>
                <w:numId w:val="1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车辆除</w:t>
            </w:r>
            <w:r>
              <w:rPr>
                <w:rFonts w:hint="eastAsia" w:ascii="宋体" w:hAnsi="宋体" w:eastAsia="宋体" w:cs="宋体"/>
                <w:b w:val="0"/>
                <w:bCs w:val="0"/>
                <w:color w:val="auto"/>
                <w:sz w:val="21"/>
                <w:szCs w:val="21"/>
                <w:highlight w:val="none"/>
                <w:lang w:val="en-US" w:eastAsia="zh-CN"/>
              </w:rPr>
              <w:t>高压射流清扫装置之外</w:t>
            </w:r>
            <w:r>
              <w:rPr>
                <w:rFonts w:hint="eastAsia" w:ascii="宋体" w:hAnsi="宋体" w:eastAsia="宋体" w:cs="宋体"/>
                <w:b w:val="0"/>
                <w:bCs w:val="0"/>
                <w:color w:val="auto"/>
                <w:sz w:val="21"/>
                <w:szCs w:val="21"/>
                <w:highlight w:val="none"/>
                <w:lang w:eastAsia="zh-CN"/>
              </w:rPr>
              <w:t>配置独立的</w:t>
            </w:r>
            <w:r>
              <w:rPr>
                <w:rFonts w:hint="eastAsia" w:ascii="宋体" w:hAnsi="宋体" w:eastAsia="宋体" w:cs="宋体"/>
                <w:b w:val="0"/>
                <w:bCs w:val="0"/>
                <w:color w:val="auto"/>
                <w:sz w:val="21"/>
                <w:szCs w:val="21"/>
                <w:highlight w:val="none"/>
                <w:lang w:val="en-US" w:eastAsia="zh-CN"/>
              </w:rPr>
              <w:t>落叶清扫装置，使得车辆</w:t>
            </w:r>
            <w:r>
              <w:rPr>
                <w:rFonts w:hint="eastAsia" w:ascii="宋体" w:hAnsi="宋体" w:eastAsia="宋体" w:cs="宋体"/>
                <w:b w:val="0"/>
                <w:bCs w:val="0"/>
                <w:color w:val="auto"/>
                <w:sz w:val="21"/>
                <w:szCs w:val="21"/>
                <w:highlight w:val="none"/>
                <w:lang w:eastAsia="zh-CN"/>
              </w:rPr>
              <w:t>具有</w:t>
            </w:r>
            <w:r>
              <w:rPr>
                <w:rFonts w:hint="eastAsia" w:ascii="宋体" w:hAnsi="宋体" w:eastAsia="宋体" w:cs="宋体"/>
                <w:b w:val="0"/>
                <w:bCs w:val="0"/>
                <w:color w:val="auto"/>
                <w:sz w:val="21"/>
                <w:szCs w:val="21"/>
                <w:highlight w:val="none"/>
              </w:rPr>
              <w:t>深度保洁、落叶收集、快速洗扫</w:t>
            </w:r>
            <w:r>
              <w:rPr>
                <w:rFonts w:hint="eastAsia" w:ascii="宋体" w:hAnsi="宋体" w:eastAsia="宋体" w:cs="宋体"/>
                <w:b w:val="0"/>
                <w:bCs w:val="0"/>
                <w:color w:val="auto"/>
                <w:sz w:val="21"/>
                <w:szCs w:val="21"/>
                <w:highlight w:val="none"/>
                <w:lang w:eastAsia="zh-CN"/>
              </w:rPr>
              <w:t>等</w:t>
            </w:r>
            <w:r>
              <w:rPr>
                <w:rFonts w:hint="eastAsia" w:ascii="宋体" w:hAnsi="宋体" w:eastAsia="宋体" w:cs="宋体"/>
                <w:b w:val="0"/>
                <w:bCs w:val="0"/>
                <w:color w:val="auto"/>
                <w:sz w:val="21"/>
                <w:szCs w:val="21"/>
                <w:highlight w:val="none"/>
              </w:rPr>
              <w:t>多种</w:t>
            </w:r>
            <w:r>
              <w:rPr>
                <w:rFonts w:hint="eastAsia" w:ascii="宋体" w:hAnsi="宋体" w:eastAsia="宋体" w:cs="宋体"/>
                <w:b w:val="0"/>
                <w:bCs w:val="0"/>
                <w:color w:val="auto"/>
                <w:sz w:val="21"/>
                <w:szCs w:val="21"/>
                <w:highlight w:val="none"/>
                <w:lang w:eastAsia="zh-CN"/>
              </w:rPr>
              <w:t>作业</w:t>
            </w:r>
            <w:r>
              <w:rPr>
                <w:rFonts w:hint="eastAsia" w:ascii="宋体" w:hAnsi="宋体" w:eastAsia="宋体" w:cs="宋体"/>
                <w:b w:val="0"/>
                <w:bCs w:val="0"/>
                <w:color w:val="auto"/>
                <w:sz w:val="21"/>
                <w:szCs w:val="21"/>
                <w:highlight w:val="none"/>
              </w:rPr>
              <w:t>功能</w:t>
            </w:r>
            <w:r>
              <w:rPr>
                <w:rFonts w:hint="eastAsia" w:ascii="宋体" w:hAnsi="宋体" w:eastAsia="宋体" w:cs="宋体"/>
                <w:b w:val="0"/>
                <w:bCs w:val="0"/>
                <w:color w:val="auto"/>
                <w:sz w:val="21"/>
                <w:szCs w:val="21"/>
                <w:highlight w:val="none"/>
                <w:lang w:eastAsia="zh-CN"/>
              </w:rPr>
              <w:t>，有效提高车辆使用率。</w:t>
            </w:r>
          </w:p>
          <w:p w14:paraId="2669980C">
            <w:pPr>
              <w:keepNext w:val="0"/>
              <w:keepLines w:val="0"/>
              <w:pageBreakBefore w:val="0"/>
              <w:numPr>
                <w:ilvl w:val="0"/>
                <w:numId w:val="1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高压水泵需采用优质水泵，当高压水泵启动及工作水阀切换时，水路系统能自动卸荷，降低额外电耗，水箱内设有低水位传感报警系统，无水时自动报警，防止水泵缺水损坏。</w:t>
            </w:r>
          </w:p>
          <w:p w14:paraId="2EAE2AAE">
            <w:pPr>
              <w:keepNext w:val="0"/>
              <w:keepLines w:val="0"/>
              <w:pageBreakBefore w:val="0"/>
              <w:numPr>
                <w:ilvl w:val="0"/>
                <w:numId w:val="1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bidi="ar"/>
              </w:rPr>
              <w:t>污水箱具有自冲洗功能，降低工人清洗强度。</w:t>
            </w:r>
          </w:p>
          <w:p w14:paraId="3EF23ABE">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配备</w:t>
            </w:r>
            <w:r>
              <w:rPr>
                <w:rFonts w:hint="eastAsia" w:ascii="宋体" w:hAnsi="宋体" w:eastAsia="宋体" w:cs="宋体"/>
                <w:b w:val="0"/>
                <w:bCs w:val="0"/>
                <w:color w:val="auto"/>
                <w:kern w:val="0"/>
                <w:sz w:val="21"/>
                <w:szCs w:val="21"/>
                <w:highlight w:val="none"/>
                <w:lang w:val="en-US" w:eastAsia="zh-CN" w:bidi="ar"/>
              </w:rPr>
              <w:t>全自动</w:t>
            </w:r>
            <w:r>
              <w:rPr>
                <w:rFonts w:hint="eastAsia" w:ascii="宋体" w:hAnsi="宋体" w:eastAsia="宋体" w:cs="宋体"/>
                <w:b w:val="0"/>
                <w:bCs w:val="0"/>
                <w:color w:val="auto"/>
                <w:sz w:val="21"/>
                <w:szCs w:val="21"/>
                <w:highlight w:val="none"/>
              </w:rPr>
              <w:t>水扫把、手持清洗</w:t>
            </w:r>
            <w:r>
              <w:rPr>
                <w:rFonts w:hint="eastAsia" w:ascii="宋体" w:hAnsi="宋体" w:eastAsia="宋体" w:cs="宋体"/>
                <w:b w:val="0"/>
                <w:bCs w:val="0"/>
                <w:color w:val="auto"/>
                <w:sz w:val="21"/>
                <w:szCs w:val="21"/>
                <w:highlight w:val="none"/>
                <w:lang w:val="en-US" w:eastAsia="zh-CN"/>
              </w:rPr>
              <w:t>装置</w:t>
            </w:r>
            <w:r>
              <w:rPr>
                <w:rFonts w:hint="eastAsia" w:ascii="宋体" w:hAnsi="宋体" w:eastAsia="宋体" w:cs="宋体"/>
                <w:b w:val="0"/>
                <w:bCs w:val="0"/>
                <w:color w:val="auto"/>
                <w:sz w:val="21"/>
                <w:szCs w:val="21"/>
                <w:highlight w:val="none"/>
              </w:rPr>
              <w:t>，实现对路缘石、人行道、公交站台、非机动车道等狭窄地方深度清洁</w:t>
            </w:r>
            <w:r>
              <w:rPr>
                <w:rFonts w:hint="eastAsia" w:ascii="宋体" w:hAnsi="宋体" w:eastAsia="宋体" w:cs="宋体"/>
                <w:b w:val="0"/>
                <w:bCs w:val="0"/>
                <w:color w:val="auto"/>
                <w:sz w:val="21"/>
                <w:szCs w:val="21"/>
                <w:highlight w:val="none"/>
                <w:lang w:eastAsia="zh-CN"/>
              </w:rPr>
              <w:t>。</w:t>
            </w:r>
          </w:p>
          <w:p w14:paraId="01EF4029">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8、车辆装配多种自动保护装置，包括清水箱缺水，高压水泵自动停止；污水箱满料，涡轮风机自动停止；旋转喷杆防护装置；箱体机械支撑。</w:t>
            </w:r>
          </w:p>
          <w:p w14:paraId="7EDF676F">
            <w:pPr>
              <w:pStyle w:val="6"/>
              <w:spacing w:line="240" w:lineRule="auto"/>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bidi="ar"/>
              </w:rPr>
              <w:t>9、</w:t>
            </w:r>
            <w:r>
              <w:rPr>
                <w:rFonts w:hint="eastAsia" w:ascii="宋体" w:hAnsi="宋体" w:eastAsia="宋体" w:cs="宋体"/>
                <w:b w:val="0"/>
                <w:bCs w:val="0"/>
                <w:color w:val="auto"/>
                <w:kern w:val="44"/>
                <w:sz w:val="21"/>
                <w:szCs w:val="21"/>
                <w:highlight w:val="none"/>
                <w:lang w:val="en-US" w:eastAsia="zh-CN"/>
              </w:rPr>
              <w:t>具备遥控操作系统，实现远距离操作各个功能模块，如尾门的开合关闭、料仓升降等。</w:t>
            </w:r>
          </w:p>
          <w:p w14:paraId="049E26B5">
            <w:pPr>
              <w:pStyle w:val="7"/>
              <w:numPr>
                <w:ilvl w:val="0"/>
                <w:numId w:val="0"/>
              </w:numP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10、驾驶室需配备语音模块，当设备运行异常时进行语音喇叭报警提示。</w:t>
            </w:r>
          </w:p>
          <w:p w14:paraId="11E0FDB3">
            <w:pPr>
              <w:pStyle w:val="6"/>
              <w:numPr>
                <w:ilvl w:val="0"/>
                <w:numId w:val="0"/>
              </w:numP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11、车辆尾部配备360摄像头和照明灯，在夜间或亮度不够的环境下能很好监视水扫把工作情况和车辆周围状况。</w:t>
            </w:r>
          </w:p>
          <w:p w14:paraId="7FDA9C0D">
            <w:pPr>
              <w:pStyle w:val="6"/>
              <w:numPr>
                <w:ilvl w:val="0"/>
                <w:numId w:val="0"/>
              </w:numP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val="0"/>
                <w:color w:val="auto"/>
                <w:kern w:val="0"/>
                <w:sz w:val="21"/>
                <w:szCs w:val="21"/>
                <w:highlight w:val="none"/>
                <w:lang w:val="en-US" w:eastAsia="zh-CN" w:bidi="ar"/>
              </w:rPr>
              <w:t>12、油泵电机处于待机状态，当要进行液压动作时，油泵电机立即响应，节省能耗。</w:t>
            </w:r>
          </w:p>
        </w:tc>
        <w:tc>
          <w:tcPr>
            <w:tcW w:w="1797" w:type="dxa"/>
            <w:tcBorders>
              <w:top w:val="single" w:color="000000" w:sz="4" w:space="0"/>
              <w:left w:val="nil"/>
              <w:bottom w:val="single" w:color="000000" w:sz="4" w:space="0"/>
              <w:right w:val="single" w:color="000000" w:sz="4" w:space="0"/>
            </w:tcBorders>
            <w:shd w:val="clear" w:color="auto" w:fill="auto"/>
            <w:vAlign w:val="center"/>
          </w:tcPr>
          <w:p w14:paraId="1B50EDF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新能源车辆，包含牌照，一年保险（全险及商业三责险),车辆管理系统（车载北斗系统）</w:t>
            </w:r>
          </w:p>
        </w:tc>
      </w:tr>
      <w:tr w14:paraId="144ED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C571F">
            <w:pPr>
              <w:jc w:val="center"/>
              <w:rPr>
                <w:rFonts w:hint="eastAsia" w:ascii="宋体" w:hAnsi="宋体" w:eastAsia="宋体" w:cs="宋体"/>
                <w:i w:val="0"/>
                <w:iCs w:val="0"/>
                <w:color w:val="auto"/>
                <w:sz w:val="21"/>
                <w:szCs w:val="21"/>
                <w:highlight w:val="none"/>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38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DF11F">
            <w:pPr>
              <w:jc w:val="center"/>
              <w:rPr>
                <w:rFonts w:hint="eastAsia" w:ascii="宋体" w:hAnsi="宋体" w:eastAsia="宋体" w:cs="宋体"/>
                <w:i w:val="0"/>
                <w:iCs w:val="0"/>
                <w:color w:val="auto"/>
                <w:sz w:val="21"/>
                <w:szCs w:val="21"/>
                <w:highlight w:val="none"/>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4D6A1">
            <w:pPr>
              <w:jc w:val="center"/>
              <w:rPr>
                <w:rFonts w:hint="eastAsia" w:ascii="宋体" w:hAnsi="宋体" w:eastAsia="宋体" w:cs="宋体"/>
                <w:i w:val="0"/>
                <w:iCs w:val="0"/>
                <w:color w:val="auto"/>
                <w:sz w:val="21"/>
                <w:szCs w:val="21"/>
                <w:highlight w:val="none"/>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A37C5">
            <w:pPr>
              <w:jc w:val="center"/>
              <w:rPr>
                <w:rFonts w:hint="eastAsia" w:ascii="宋体" w:hAnsi="宋体" w:eastAsia="宋体" w:cs="宋体"/>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8BB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4912.6</w:t>
            </w:r>
          </w:p>
        </w:tc>
        <w:tc>
          <w:tcPr>
            <w:tcW w:w="7500" w:type="dxa"/>
            <w:tcBorders>
              <w:top w:val="single" w:color="000000" w:sz="4" w:space="0"/>
              <w:left w:val="nil"/>
              <w:bottom w:val="single" w:color="000000" w:sz="4" w:space="0"/>
              <w:right w:val="single" w:color="000000" w:sz="4" w:space="0"/>
            </w:tcBorders>
            <w:shd w:val="clear" w:color="auto" w:fill="auto"/>
            <w:vAlign w:val="center"/>
          </w:tcPr>
          <w:p w14:paraId="5C84F077">
            <w:pPr>
              <w:rPr>
                <w:rFonts w:hint="eastAsia" w:ascii="宋体" w:hAnsi="宋体" w:eastAsia="宋体" w:cs="宋体"/>
                <w:i w:val="0"/>
                <w:iCs w:val="0"/>
                <w:color w:val="auto"/>
                <w:sz w:val="21"/>
                <w:szCs w:val="21"/>
                <w:highlight w:val="none"/>
                <w:u w:val="none"/>
              </w:rPr>
            </w:pPr>
          </w:p>
        </w:tc>
        <w:tc>
          <w:tcPr>
            <w:tcW w:w="1797" w:type="dxa"/>
            <w:tcBorders>
              <w:top w:val="single" w:color="000000" w:sz="4" w:space="0"/>
              <w:left w:val="nil"/>
              <w:bottom w:val="single" w:color="000000" w:sz="4" w:space="0"/>
              <w:right w:val="single" w:color="000000" w:sz="4" w:space="0"/>
            </w:tcBorders>
            <w:shd w:val="clear" w:color="auto" w:fill="auto"/>
            <w:vAlign w:val="center"/>
          </w:tcPr>
          <w:p w14:paraId="02160ECE">
            <w:pPr>
              <w:rPr>
                <w:rFonts w:hint="eastAsia" w:ascii="宋体" w:hAnsi="宋体" w:eastAsia="宋体" w:cs="宋体"/>
                <w:i w:val="0"/>
                <w:iCs w:val="0"/>
                <w:color w:val="auto"/>
                <w:sz w:val="21"/>
                <w:szCs w:val="21"/>
                <w:highlight w:val="none"/>
                <w:u w:val="none"/>
              </w:rPr>
            </w:pPr>
          </w:p>
        </w:tc>
      </w:tr>
    </w:tbl>
    <w:p w14:paraId="25B9D1B3">
      <w:pPr>
        <w:widowControl/>
        <w:jc w:val="left"/>
        <w:rPr>
          <w:rFonts w:asciiTheme="minorEastAsia" w:hAnsiTheme="minorEastAsia"/>
          <w:color w:val="auto"/>
          <w:sz w:val="24"/>
          <w:szCs w:val="24"/>
          <w:highlight w:val="none"/>
        </w:rPr>
      </w:pPr>
    </w:p>
    <w:p w14:paraId="2AE6A8B2">
      <w:pPr>
        <w:widowControl/>
        <w:jc w:val="left"/>
        <w:rPr>
          <w:rFonts w:asciiTheme="minorEastAsia" w:hAnsiTheme="minorEastAsia"/>
          <w:color w:val="auto"/>
          <w:sz w:val="24"/>
          <w:szCs w:val="24"/>
          <w:highlight w:val="none"/>
        </w:rPr>
        <w:sectPr>
          <w:pgSz w:w="16838" w:h="11905" w:orient="landscape"/>
          <w:pgMar w:top="1417" w:right="1440" w:bottom="1417" w:left="1440" w:header="680" w:footer="680" w:gutter="0"/>
          <w:pgBorders>
            <w:top w:val="none" w:sz="0" w:space="0"/>
            <w:left w:val="none" w:sz="0" w:space="0"/>
            <w:bottom w:val="none" w:sz="0" w:space="0"/>
            <w:right w:val="none" w:sz="0" w:space="0"/>
          </w:pgBorders>
          <w:pgNumType w:fmt="numberInDash"/>
          <w:cols w:space="0" w:num="1"/>
          <w:rtlGutter w:val="0"/>
          <w:docGrid w:type="lines" w:linePitch="317" w:charSpace="0"/>
        </w:sectPr>
      </w:pPr>
    </w:p>
    <w:p w14:paraId="7FE927ED">
      <w:pPr>
        <w:pStyle w:val="2"/>
        <w:rPr>
          <w:rFonts w:ascii="宋体" w:hAnsi="宋体" w:cs="宋体"/>
          <w:b/>
          <w:bCs/>
          <w:color w:val="auto"/>
          <w:szCs w:val="32"/>
          <w:highlight w:val="none"/>
        </w:rPr>
      </w:pPr>
      <w:bookmarkStart w:id="60" w:name="_Toc30910"/>
      <w:r>
        <w:rPr>
          <w:rFonts w:hint="eastAsia" w:ascii="宋体" w:hAnsi="宋体" w:cs="宋体"/>
          <w:b/>
          <w:bCs/>
          <w:color w:val="auto"/>
          <w:szCs w:val="32"/>
          <w:highlight w:val="none"/>
        </w:rPr>
        <w:t>第四章  合同条款及格式</w:t>
      </w:r>
      <w:bookmarkEnd w:id="60"/>
    </w:p>
    <w:p w14:paraId="5686A9B5">
      <w:pPr>
        <w:spacing w:line="500" w:lineRule="exact"/>
        <w:ind w:right="120" w:firstLine="559"/>
        <w:rPr>
          <w:rFonts w:ascii="宋体" w:hAnsi="宋体" w:cs="宋体"/>
          <w:color w:val="auto"/>
          <w:sz w:val="24"/>
          <w:szCs w:val="24"/>
          <w:highlight w:val="none"/>
        </w:rPr>
      </w:pPr>
      <w:r>
        <w:rPr>
          <w:rFonts w:hint="eastAsia" w:ascii="宋体" w:hAnsi="宋体" w:cs="宋体"/>
          <w:color w:val="auto"/>
          <w:sz w:val="24"/>
          <w:szCs w:val="24"/>
          <w:highlight w:val="none"/>
        </w:rPr>
        <w:t>甲、乙双方根据《中华人民共和国民法典》等相关法律法规、本项目招标文件及投标文件的承诺协商签订合同。合同版本以双方最终协商签订的合同为准，以下合同文本仅供参考。</w:t>
      </w:r>
    </w:p>
    <w:p w14:paraId="67D38941">
      <w:pPr>
        <w:widowControl/>
        <w:jc w:val="left"/>
        <w:rPr>
          <w:color w:val="auto"/>
          <w:highlight w:val="none"/>
        </w:rPr>
      </w:pPr>
      <w:r>
        <w:rPr>
          <w:color w:val="auto"/>
          <w:highlight w:val="none"/>
        </w:rPr>
        <w:br w:type="page"/>
      </w:r>
    </w:p>
    <w:p w14:paraId="4068FB5E">
      <w:pPr>
        <w:pStyle w:val="6"/>
        <w:spacing w:after="0"/>
        <w:jc w:val="center"/>
        <w:rPr>
          <w:rFonts w:ascii="宋体" w:hAnsi="宋体" w:cs="宋体"/>
          <w:b/>
          <w:bCs/>
          <w:color w:val="auto"/>
          <w:spacing w:val="-20"/>
          <w:kern w:val="44"/>
          <w:sz w:val="48"/>
          <w:szCs w:val="48"/>
          <w:highlight w:val="none"/>
        </w:rPr>
      </w:pPr>
      <w:bookmarkStart w:id="61" w:name="_Toc3995"/>
    </w:p>
    <w:p w14:paraId="78B986C1">
      <w:pPr>
        <w:pStyle w:val="6"/>
        <w:spacing w:after="0"/>
        <w:jc w:val="center"/>
        <w:rPr>
          <w:rFonts w:ascii="宋体" w:hAnsi="宋体" w:cs="宋体"/>
          <w:b/>
          <w:bCs/>
          <w:color w:val="auto"/>
          <w:spacing w:val="-20"/>
          <w:kern w:val="44"/>
          <w:sz w:val="48"/>
          <w:szCs w:val="48"/>
          <w:highlight w:val="none"/>
        </w:rPr>
      </w:pPr>
    </w:p>
    <w:p w14:paraId="093C193C">
      <w:pPr>
        <w:pStyle w:val="6"/>
        <w:spacing w:after="0"/>
        <w:jc w:val="center"/>
        <w:rPr>
          <w:rFonts w:ascii="宋体" w:hAnsi="宋体" w:cs="宋体"/>
          <w:b/>
          <w:bCs/>
          <w:color w:val="auto"/>
          <w:spacing w:val="-20"/>
          <w:kern w:val="44"/>
          <w:sz w:val="48"/>
          <w:szCs w:val="48"/>
          <w:highlight w:val="none"/>
        </w:rPr>
      </w:pPr>
    </w:p>
    <w:p w14:paraId="6009AEDE">
      <w:pPr>
        <w:pStyle w:val="6"/>
        <w:spacing w:after="0"/>
        <w:jc w:val="center"/>
        <w:rPr>
          <w:rFonts w:ascii="宋体" w:hAnsi="宋体" w:cs="宋体"/>
          <w:b/>
          <w:bCs/>
          <w:color w:val="auto"/>
          <w:spacing w:val="-20"/>
          <w:kern w:val="44"/>
          <w:sz w:val="48"/>
          <w:szCs w:val="48"/>
          <w:highlight w:val="none"/>
        </w:rPr>
      </w:pPr>
    </w:p>
    <w:p w14:paraId="495F56F5">
      <w:pPr>
        <w:pStyle w:val="6"/>
        <w:spacing w:after="0"/>
        <w:jc w:val="center"/>
        <w:rPr>
          <w:rFonts w:ascii="宋体" w:hAnsi="宋体" w:cs="宋体"/>
          <w:b/>
          <w:bCs/>
          <w:color w:val="auto"/>
          <w:spacing w:val="-20"/>
          <w:kern w:val="44"/>
          <w:sz w:val="48"/>
          <w:szCs w:val="48"/>
          <w:highlight w:val="none"/>
        </w:rPr>
      </w:pPr>
    </w:p>
    <w:p w14:paraId="44C211BB">
      <w:pPr>
        <w:pStyle w:val="6"/>
        <w:spacing w:after="0"/>
        <w:jc w:val="center"/>
        <w:rPr>
          <w:rFonts w:hint="eastAsia"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w:t>
      </w:r>
      <w:r>
        <w:rPr>
          <w:rFonts w:hint="eastAsia" w:ascii="宋体" w:hAnsi="宋体" w:cs="宋体"/>
          <w:b/>
          <w:bCs/>
          <w:color w:val="auto"/>
          <w:spacing w:val="-20"/>
          <w:kern w:val="44"/>
          <w:sz w:val="48"/>
          <w:szCs w:val="48"/>
          <w:highlight w:val="none"/>
          <w:lang w:eastAsia="zh-CN"/>
        </w:rPr>
        <w:t>货物买卖</w:t>
      </w:r>
      <w:r>
        <w:rPr>
          <w:rFonts w:hint="eastAsia" w:ascii="宋体" w:hAnsi="宋体" w:cs="宋体"/>
          <w:b/>
          <w:bCs/>
          <w:color w:val="auto"/>
          <w:spacing w:val="-20"/>
          <w:kern w:val="44"/>
          <w:sz w:val="48"/>
          <w:szCs w:val="48"/>
          <w:highlight w:val="none"/>
        </w:rPr>
        <w:t>合同</w:t>
      </w:r>
    </w:p>
    <w:p w14:paraId="1E1556EC">
      <w:pPr>
        <w:pStyle w:val="6"/>
        <w:spacing w:after="0"/>
        <w:jc w:val="center"/>
        <w:rPr>
          <w:rFonts w:hint="eastAsia" w:ascii="宋体" w:hAnsi="宋体" w:eastAsia="宋体" w:cs="宋体"/>
          <w:b/>
          <w:bCs/>
          <w:color w:val="auto"/>
          <w:spacing w:val="-20"/>
          <w:kern w:val="44"/>
          <w:sz w:val="48"/>
          <w:szCs w:val="48"/>
          <w:highlight w:val="none"/>
          <w:lang w:eastAsia="zh-CN"/>
        </w:rPr>
      </w:pPr>
      <w:r>
        <w:rPr>
          <w:rFonts w:hint="eastAsia" w:ascii="宋体" w:hAnsi="宋体" w:cs="宋体"/>
          <w:b/>
          <w:bCs/>
          <w:color w:val="auto"/>
          <w:spacing w:val="-20"/>
          <w:kern w:val="44"/>
          <w:sz w:val="48"/>
          <w:szCs w:val="48"/>
          <w:highlight w:val="none"/>
          <w:lang w:eastAsia="zh-CN"/>
        </w:rPr>
        <w:t>（试行）</w:t>
      </w:r>
    </w:p>
    <w:p w14:paraId="33333F4B">
      <w:pPr>
        <w:rPr>
          <w:rFonts w:ascii="宋体" w:hAnsi="宋体" w:cs="宋体"/>
          <w:b/>
          <w:bCs/>
          <w:color w:val="auto"/>
          <w:spacing w:val="-20"/>
          <w:kern w:val="44"/>
          <w:sz w:val="40"/>
          <w:szCs w:val="40"/>
          <w:highlight w:val="none"/>
        </w:rPr>
      </w:pPr>
    </w:p>
    <w:p w14:paraId="713579B0">
      <w:pPr>
        <w:rPr>
          <w:rFonts w:ascii="宋体" w:hAnsi="宋体" w:cs="宋体"/>
          <w:b/>
          <w:bCs/>
          <w:color w:val="auto"/>
          <w:spacing w:val="-20"/>
          <w:kern w:val="44"/>
          <w:sz w:val="40"/>
          <w:szCs w:val="40"/>
          <w:highlight w:val="none"/>
        </w:rPr>
      </w:pPr>
    </w:p>
    <w:p w14:paraId="3FF234CF">
      <w:pPr>
        <w:rPr>
          <w:rFonts w:ascii="宋体" w:hAnsi="宋体" w:cs="宋体"/>
          <w:b/>
          <w:bCs/>
          <w:color w:val="auto"/>
          <w:spacing w:val="-20"/>
          <w:kern w:val="44"/>
          <w:sz w:val="40"/>
          <w:szCs w:val="40"/>
          <w:highlight w:val="none"/>
        </w:rPr>
      </w:pPr>
    </w:p>
    <w:p w14:paraId="10B2D231">
      <w:pPr>
        <w:spacing w:line="360" w:lineRule="auto"/>
        <w:ind w:left="420" w:leftChars="200"/>
        <w:rPr>
          <w:color w:val="auto"/>
          <w:sz w:val="32"/>
          <w:szCs w:val="32"/>
          <w:highlight w:val="none"/>
        </w:rPr>
      </w:pPr>
      <w:r>
        <w:rPr>
          <w:rFonts w:hint="eastAsia" w:ascii="宋体" w:hAnsi="宋体" w:cs="宋体"/>
          <w:color w:val="auto"/>
          <w:kern w:val="0"/>
          <w:sz w:val="32"/>
          <w:szCs w:val="32"/>
          <w:highlight w:val="none"/>
        </w:rPr>
        <w:t>项目名称：</w:t>
      </w:r>
      <w:r>
        <w:rPr>
          <w:rFonts w:hint="eastAsia"/>
          <w:color w:val="auto"/>
          <w:sz w:val="32"/>
          <w:szCs w:val="32"/>
          <w:highlight w:val="none"/>
          <w:u w:val="single"/>
        </w:rPr>
        <w:t xml:space="preserve">                             </w:t>
      </w:r>
    </w:p>
    <w:p w14:paraId="0F4E9F50">
      <w:pPr>
        <w:spacing w:line="360" w:lineRule="auto"/>
        <w:ind w:left="420" w:leftChars="2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14:paraId="681807D2">
      <w:pPr>
        <w:spacing w:line="360" w:lineRule="auto"/>
        <w:ind w:left="420" w:leftChars="20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w:t>
      </w:r>
    </w:p>
    <w:p w14:paraId="15F5F43C">
      <w:pPr>
        <w:spacing w:line="360" w:lineRule="auto"/>
        <w:ind w:left="420" w:leftChars="20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14:paraId="64B5DF2A">
      <w:pPr>
        <w:spacing w:line="360" w:lineRule="auto"/>
        <w:ind w:left="420"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14:paraId="71827FC3">
      <w:pPr>
        <w:rPr>
          <w:color w:val="auto"/>
          <w:highlight w:val="none"/>
        </w:rPr>
      </w:pPr>
    </w:p>
    <w:p w14:paraId="1034C599">
      <w:pPr>
        <w:rPr>
          <w:rFonts w:eastAsia="黑体"/>
          <w:color w:val="auto"/>
          <w:sz w:val="44"/>
          <w:szCs w:val="44"/>
          <w:highlight w:val="none"/>
        </w:rPr>
      </w:pPr>
      <w:r>
        <w:rPr>
          <w:rFonts w:eastAsia="黑体"/>
          <w:color w:val="auto"/>
          <w:sz w:val="44"/>
          <w:szCs w:val="44"/>
          <w:highlight w:val="none"/>
        </w:rPr>
        <w:br w:type="page"/>
      </w:r>
    </w:p>
    <w:p w14:paraId="79C117E6">
      <w:pPr>
        <w:rPr>
          <w:rFonts w:eastAsia="黑体"/>
          <w:color w:val="auto"/>
          <w:sz w:val="44"/>
          <w:szCs w:val="44"/>
          <w:highlight w:val="none"/>
        </w:rPr>
      </w:pPr>
    </w:p>
    <w:p w14:paraId="34293F2D">
      <w:pPr>
        <w:rPr>
          <w:rFonts w:eastAsia="黑体"/>
          <w:color w:val="auto"/>
          <w:sz w:val="44"/>
          <w:szCs w:val="44"/>
          <w:highlight w:val="none"/>
        </w:rPr>
      </w:pPr>
    </w:p>
    <w:p w14:paraId="41A48995">
      <w:pPr>
        <w:jc w:val="center"/>
        <w:outlineLvl w:val="0"/>
        <w:rPr>
          <w:rFonts w:hint="eastAsia" w:eastAsia="黑体"/>
          <w:color w:val="auto"/>
          <w:sz w:val="44"/>
          <w:szCs w:val="44"/>
          <w:highlight w:val="none"/>
          <w:lang w:eastAsia="zh-CN"/>
        </w:rPr>
      </w:pPr>
      <w:bookmarkStart w:id="62" w:name="_Toc16062"/>
      <w:r>
        <w:rPr>
          <w:rFonts w:hint="eastAsia" w:eastAsia="黑体"/>
          <w:color w:val="auto"/>
          <w:sz w:val="44"/>
          <w:szCs w:val="44"/>
          <w:highlight w:val="none"/>
          <w:lang w:eastAsia="zh-CN"/>
        </w:rPr>
        <w:t>使</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用</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说</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明</w:t>
      </w:r>
      <w:bookmarkEnd w:id="62"/>
    </w:p>
    <w:p w14:paraId="69105B32">
      <w:pPr>
        <w:ind w:firstLine="640" w:firstLineChars="200"/>
        <w:rPr>
          <w:rFonts w:hint="eastAsia" w:ascii="仿宋_GB2312" w:hAnsi="仿宋_GB2312" w:eastAsia="仿宋_GB2312" w:cs="仿宋_GB2312"/>
          <w:color w:val="auto"/>
          <w:sz w:val="32"/>
          <w:szCs w:val="32"/>
          <w:highlight w:val="none"/>
          <w:lang w:val="en-US" w:eastAsia="zh-CN"/>
        </w:rPr>
      </w:pPr>
    </w:p>
    <w:p w14:paraId="22CE0327">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1.本合同标准文本适用于购买现成货物的采购项目，不包括需要供应商定制开发、创新研发的货物采购项目。</w:t>
      </w:r>
    </w:p>
    <w:p w14:paraId="0BAC460F">
      <w:pPr>
        <w:ind w:firstLine="0" w:firstLineChars="0"/>
        <w:rPr>
          <w:rFonts w:hint="default" w:eastAsia="黑体"/>
          <w:color w:val="auto"/>
          <w:sz w:val="44"/>
          <w:szCs w:val="44"/>
          <w:highlight w:val="none"/>
          <w:lang w:val="en-US" w:eastAsia="zh-CN"/>
        </w:rPr>
      </w:pPr>
      <w:r>
        <w:rPr>
          <w:rFonts w:hint="eastAsia" w:eastAsia="黑体"/>
          <w:color w:val="auto"/>
          <w:sz w:val="44"/>
          <w:szCs w:val="44"/>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2.本合同标准文本为政府采购货物买卖合同编制提供参考，可以结合采购项目具体情况，对文本作必要的调整修订后使用。</w:t>
      </w:r>
    </w:p>
    <w:p w14:paraId="7B21F441">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3.本合同标准文本各条款中，如涉及填写多家供应商、制造商，多种采购标的、分包主要内容等信息的，可根据采购项目具体情况添加信息项。</w:t>
      </w:r>
    </w:p>
    <w:p w14:paraId="42B0C9E3">
      <w:pPr>
        <w:ind w:firstLine="880" w:firstLineChars="200"/>
        <w:jc w:val="both"/>
        <w:rPr>
          <w:rFonts w:eastAsia="黑体"/>
          <w:color w:val="auto"/>
          <w:sz w:val="44"/>
          <w:szCs w:val="44"/>
          <w:highlight w:val="none"/>
        </w:rPr>
        <w:sectPr>
          <w:pgSz w:w="11905" w:h="16838"/>
          <w:pgMar w:top="1440" w:right="1417" w:bottom="1440" w:left="1417" w:header="680" w:footer="680" w:gutter="0"/>
          <w:pgBorders>
            <w:top w:val="none" w:sz="0" w:space="0"/>
            <w:left w:val="none" w:sz="0" w:space="0"/>
            <w:bottom w:val="none" w:sz="0" w:space="0"/>
            <w:right w:val="none" w:sz="0" w:space="0"/>
          </w:pgBorders>
          <w:pgNumType w:fmt="numberInDash"/>
          <w:cols w:space="0" w:num="1"/>
          <w:rtlGutter w:val="0"/>
          <w:docGrid w:type="lines" w:linePitch="317" w:charSpace="0"/>
        </w:sectPr>
      </w:pPr>
    </w:p>
    <w:bookmarkEnd w:id="61"/>
    <w:p w14:paraId="63E0F148">
      <w:pPr>
        <w:pStyle w:val="3"/>
        <w:adjustRightInd w:val="0"/>
        <w:snapToGrid w:val="0"/>
        <w:spacing w:beforeLines="0" w:line="400" w:lineRule="exact"/>
        <w:ind w:firstLine="567" w:firstLineChars="0"/>
        <w:jc w:val="center"/>
        <w:outlineLvl w:val="0"/>
        <w:rPr>
          <w:rFonts w:hint="eastAsia" w:ascii="黑体" w:hAnsi="华文中宋" w:eastAsia="黑体"/>
          <w:b w:val="0"/>
          <w:bCs w:val="0"/>
          <w:color w:val="auto"/>
          <w:sz w:val="28"/>
          <w:szCs w:val="28"/>
          <w:highlight w:val="none"/>
        </w:rPr>
      </w:pPr>
      <w:bookmarkStart w:id="63" w:name="_Toc11620"/>
      <w:bookmarkStart w:id="64" w:name="_Toc22209"/>
      <w:r>
        <w:rPr>
          <w:rFonts w:hint="eastAsia" w:ascii="黑体" w:hAnsi="黑体" w:eastAsia="黑体"/>
          <w:b w:val="0"/>
          <w:bCs w:val="0"/>
          <w:color w:val="auto"/>
          <w:sz w:val="28"/>
          <w:szCs w:val="28"/>
          <w:highlight w:val="none"/>
        </w:rPr>
        <w:t xml:space="preserve">第一节 </w:t>
      </w:r>
      <w:r>
        <w:rPr>
          <w:rFonts w:hint="eastAsia" w:ascii="黑体" w:hAnsi="华文中宋" w:eastAsia="黑体"/>
          <w:b w:val="0"/>
          <w:bCs w:val="0"/>
          <w:color w:val="auto"/>
          <w:sz w:val="28"/>
          <w:szCs w:val="28"/>
          <w:highlight w:val="none"/>
        </w:rPr>
        <w:t>政府采购合同协议书</w:t>
      </w:r>
      <w:bookmarkEnd w:id="63"/>
      <w:bookmarkEnd w:id="64"/>
    </w:p>
    <w:p w14:paraId="6F6E8EFF">
      <w:pPr>
        <w:widowControl/>
        <w:suppressAutoHyphens/>
        <w:adjustRightInd w:val="0"/>
        <w:snapToGrid w:val="0"/>
        <w:spacing w:before="120" w:beforeLines="0" w:line="400" w:lineRule="exact"/>
        <w:ind w:firstLine="567"/>
        <w:jc w:val="center"/>
        <w:outlineLvl w:val="9"/>
        <w:rPr>
          <w:rFonts w:hint="eastAsia" w:ascii="黑体" w:hAnsi="华文中宋" w:eastAsia="黑体" w:cs="Times New Roman"/>
          <w:b w:val="0"/>
          <w:bCs w:val="0"/>
          <w:color w:val="auto"/>
          <w:kern w:val="28"/>
          <w:sz w:val="28"/>
          <w:szCs w:val="28"/>
          <w:highlight w:val="none"/>
          <w:lang w:val="en-US" w:eastAsia="zh-CN" w:bidi="ar-SA"/>
        </w:rPr>
      </w:pPr>
    </w:p>
    <w:p w14:paraId="38FC40BE">
      <w:pPr>
        <w:adjustRightInd w:val="0"/>
        <w:snapToGrid w:val="0"/>
        <w:spacing w:before="0" w:beforeLines="0" w:line="400" w:lineRule="exact"/>
        <w:rPr>
          <w:rFonts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                        </w:t>
      </w:r>
      <w:r>
        <w:rPr>
          <w:rFonts w:hint="eastAsia" w:ascii="宋体" w:hAnsi="宋体"/>
          <w:color w:val="auto"/>
          <w:szCs w:val="21"/>
          <w:highlight w:val="none"/>
        </w:rPr>
        <w:t>（采购人</w:t>
      </w:r>
      <w:r>
        <w:rPr>
          <w:rFonts w:hint="eastAsia" w:ascii="宋体" w:hAnsi="宋体"/>
          <w:color w:val="auto"/>
          <w:szCs w:val="21"/>
          <w:highlight w:val="none"/>
          <w:lang w:eastAsia="zh-CN"/>
        </w:rPr>
        <w:t>、受采购人委托签订合同的单位</w:t>
      </w:r>
      <w:r>
        <w:rPr>
          <w:rFonts w:hint="eastAsia" w:ascii="宋体" w:hAnsi="宋体"/>
          <w:color w:val="auto"/>
          <w:szCs w:val="21"/>
          <w:highlight w:val="none"/>
        </w:rPr>
        <w:t>或采购</w:t>
      </w:r>
      <w:r>
        <w:rPr>
          <w:rFonts w:hint="eastAsia" w:ascii="宋体" w:hAnsi="宋体"/>
          <w:color w:val="auto"/>
          <w:szCs w:val="21"/>
          <w:highlight w:val="none"/>
          <w:lang w:val="en-US" w:eastAsia="zh-CN"/>
        </w:rPr>
        <w:tab/>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文件约定的合同甲方）</w:t>
      </w:r>
    </w:p>
    <w:p w14:paraId="2E8594E2">
      <w:pPr>
        <w:adjustRightInd w:val="0"/>
        <w:snapToGrid w:val="0"/>
        <w:spacing w:before="0" w:beforeLines="0" w:line="400" w:lineRule="exact"/>
        <w:rPr>
          <w:rFonts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val="en-US" w:eastAsia="zh-CN"/>
        </w:rPr>
        <w:t>1</w:t>
      </w:r>
      <w:r>
        <w:rPr>
          <w:rFonts w:hint="eastAsia" w:ascii="宋体" w:hAnsi="宋体"/>
          <w:color w:val="auto"/>
          <w:szCs w:val="21"/>
          <w:highlight w:val="none"/>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（供应商）</w:t>
      </w:r>
    </w:p>
    <w:p w14:paraId="5502DD1B">
      <w:pPr>
        <w:adjustRightInd w:val="0"/>
        <w:snapToGrid w:val="0"/>
        <w:spacing w:before="0" w:beforeLines="0" w:line="400" w:lineRule="exact"/>
        <w:rPr>
          <w:rFonts w:hint="eastAsia" w:ascii="宋体" w:hAnsi="宋体"/>
          <w:color w:val="auto"/>
          <w:szCs w:val="21"/>
          <w:highlight w:val="none"/>
        </w:rPr>
      </w:pPr>
      <w:r>
        <w:rPr>
          <w:rFonts w:hint="eastAsia" w:ascii="宋体" w:hAnsi="宋体"/>
          <w:color w:val="auto"/>
          <w:szCs w:val="21"/>
          <w:highlight w:val="none"/>
        </w:rPr>
        <w:t>乙方2（全称）：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4DD4ECFC">
      <w:pPr>
        <w:adjustRightInd w:val="0"/>
        <w:snapToGrid w:val="0"/>
        <w:spacing w:before="0" w:beforeLines="0" w:line="400" w:lineRule="exact"/>
        <w:rPr>
          <w:rFonts w:hint="eastAsia" w:ascii="宋体" w:hAnsi="宋体"/>
          <w:color w:val="auto"/>
          <w:szCs w:val="21"/>
          <w:highlight w:val="none"/>
        </w:rPr>
      </w:pPr>
      <w:r>
        <w:rPr>
          <w:rFonts w:hint="eastAsia"/>
          <w:color w:val="auto"/>
          <w:highlight w:val="none"/>
          <w:lang w:eastAsia="zh-CN"/>
        </w:rPr>
        <w:t>乙方</w:t>
      </w:r>
      <w:r>
        <w:rPr>
          <w:rFonts w:hint="eastAsia" w:ascii="宋体" w:hAnsi="宋体"/>
          <w:color w:val="auto"/>
          <w:szCs w:val="21"/>
          <w:highlight w:val="none"/>
          <w:lang w:val="en-US" w:eastAsia="zh-CN"/>
        </w:rPr>
        <w:t>3</w:t>
      </w:r>
      <w:r>
        <w:rPr>
          <w:rFonts w:hint="eastAsia"/>
          <w:color w:val="auto"/>
          <w:highlight w:val="none"/>
          <w:lang w:val="en-US" w:eastAsia="zh-CN"/>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11A842A8">
      <w:pPr>
        <w:spacing w:beforeLines="0" w:line="400" w:lineRule="exact"/>
        <w:rPr>
          <w:rFonts w:hint="default" w:eastAsia="宋体"/>
          <w:color w:val="auto"/>
          <w:highlight w:val="none"/>
          <w:lang w:val="en-US" w:eastAsia="zh-CN"/>
        </w:rPr>
      </w:pPr>
    </w:p>
    <w:p w14:paraId="44333772">
      <w:pPr>
        <w:pStyle w:val="8"/>
        <w:adjustRightInd w:val="0"/>
        <w:snapToGrid w:val="0"/>
        <w:spacing w:before="0" w:beforeLines="0" w:after="0" w:line="400" w:lineRule="exact"/>
        <w:ind w:left="0" w:leftChars="0" w:firstLine="420" w:firstLineChars="200"/>
        <w:rPr>
          <w:rFonts w:ascii="宋体" w:hAnsi="宋体"/>
          <w:color w:val="auto"/>
          <w:szCs w:val="21"/>
          <w:highlight w:val="none"/>
        </w:rPr>
      </w:pPr>
      <w:r>
        <w:rPr>
          <w:rFonts w:hint="eastAsia" w:ascii="宋体" w:hAnsi="宋体"/>
          <w:color w:val="auto"/>
          <w:szCs w:val="21"/>
          <w:highlight w:val="none"/>
        </w:rPr>
        <w:t>依据《中华人民共和国民法典》</w:t>
      </w:r>
      <w:r>
        <w:rPr>
          <w:rFonts w:hint="eastAsia" w:ascii="宋体" w:hAnsi="宋体"/>
          <w:color w:val="auto"/>
          <w:szCs w:val="21"/>
          <w:highlight w:val="none"/>
          <w:lang w:eastAsia="zh-CN"/>
        </w:rPr>
        <w:t>、</w:t>
      </w:r>
      <w:r>
        <w:rPr>
          <w:rFonts w:hint="eastAsia" w:ascii="宋体" w:hAnsi="宋体"/>
          <w:color w:val="auto"/>
          <w:szCs w:val="21"/>
          <w:highlight w:val="none"/>
        </w:rPr>
        <w:t>《中华人民共和国政府采购法》等有关的法律法规，以及</w:t>
      </w:r>
      <w:r>
        <w:rPr>
          <w:rFonts w:hint="eastAsia" w:ascii="宋体" w:hAnsi="宋体"/>
          <w:i w:val="0"/>
          <w:iCs w:val="0"/>
          <w:color w:val="auto"/>
          <w:szCs w:val="21"/>
          <w:highlight w:val="none"/>
          <w:u w:val="none"/>
          <w:lang w:eastAsia="zh-CN"/>
        </w:rPr>
        <w:t>本采购项目</w:t>
      </w:r>
      <w:r>
        <w:rPr>
          <w:rFonts w:hint="eastAsia" w:ascii="宋体" w:hAnsi="宋体"/>
          <w:color w:val="auto"/>
          <w:szCs w:val="21"/>
          <w:highlight w:val="none"/>
        </w:rPr>
        <w:t>的</w:t>
      </w:r>
      <w:r>
        <w:rPr>
          <w:rFonts w:hint="eastAsia" w:ascii="宋体" w:hAnsi="宋体"/>
          <w:color w:val="auto"/>
          <w:szCs w:val="21"/>
          <w:highlight w:val="none"/>
          <w:lang w:eastAsia="zh-CN"/>
        </w:rPr>
        <w:t>招标</w:t>
      </w:r>
      <w:r>
        <w:rPr>
          <w:rFonts w:hint="eastAsia" w:ascii="宋体" w:hAnsi="宋体"/>
          <w:color w:val="auto"/>
          <w:szCs w:val="21"/>
          <w:highlight w:val="none"/>
          <w:lang w:val="en-US" w:eastAsia="zh-CN"/>
        </w:rPr>
        <w:t>/谈判</w:t>
      </w:r>
      <w:r>
        <w:rPr>
          <w:rFonts w:hint="eastAsia" w:ascii="宋体" w:hAnsi="宋体"/>
          <w:color w:val="auto"/>
          <w:szCs w:val="21"/>
          <w:highlight w:val="none"/>
          <w:lang w:eastAsia="zh-CN"/>
        </w:rPr>
        <w:t>文件等</w:t>
      </w:r>
      <w:r>
        <w:rPr>
          <w:rFonts w:hint="eastAsia" w:ascii="宋体" w:hAnsi="宋体"/>
          <w:color w:val="auto"/>
          <w:szCs w:val="21"/>
          <w:highlight w:val="none"/>
        </w:rPr>
        <w:t>采购文件</w:t>
      </w:r>
      <w:r>
        <w:rPr>
          <w:rFonts w:hint="eastAsia" w:ascii="宋体" w:hAnsi="宋体"/>
          <w:color w:val="auto"/>
          <w:szCs w:val="21"/>
          <w:highlight w:val="none"/>
          <w:lang w:eastAsia="zh-CN"/>
        </w:rPr>
        <w:t>、</w:t>
      </w:r>
      <w:r>
        <w:rPr>
          <w:rFonts w:hint="eastAsia" w:ascii="宋体" w:hAnsi="宋体"/>
          <w:color w:val="auto"/>
          <w:szCs w:val="21"/>
          <w:highlight w:val="none"/>
        </w:rPr>
        <w:t xml:space="preserve">乙方的《投标（响应）文件》及《中标（成交）通知书》，甲乙双方同意签订本合同。具体情况及要求如下：     </w:t>
      </w:r>
    </w:p>
    <w:p w14:paraId="62A2516D">
      <w:pPr>
        <w:numPr>
          <w:ilvl w:val="0"/>
          <w:numId w:val="11"/>
        </w:numPr>
        <w:adjustRightInd w:val="0"/>
        <w:snapToGrid w:val="0"/>
        <w:spacing w:before="0" w:beforeLines="0" w:line="400" w:lineRule="exact"/>
        <w:ind w:firstLine="422" w:firstLineChars="200"/>
        <w:outlineLvl w:val="0"/>
        <w:rPr>
          <w:rFonts w:ascii="宋体" w:hAnsi="宋体"/>
          <w:b/>
          <w:color w:val="auto"/>
          <w:szCs w:val="21"/>
          <w:highlight w:val="none"/>
        </w:rPr>
      </w:pPr>
      <w:bookmarkStart w:id="65" w:name="_Toc29613"/>
      <w:r>
        <w:rPr>
          <w:rFonts w:hint="eastAsia" w:ascii="宋体" w:hAnsi="宋体"/>
          <w:b/>
          <w:color w:val="auto"/>
          <w:szCs w:val="21"/>
          <w:highlight w:val="none"/>
        </w:rPr>
        <w:t>项目信息</w:t>
      </w:r>
      <w:bookmarkEnd w:id="65"/>
    </w:p>
    <w:p w14:paraId="10FCE5FD">
      <w:pPr>
        <w:pStyle w:val="8"/>
        <w:numPr>
          <w:ilvl w:val="0"/>
          <w:numId w:val="12"/>
        </w:numPr>
        <w:adjustRightInd w:val="0"/>
        <w:snapToGrid w:val="0"/>
        <w:spacing w:before="0" w:beforeLines="0" w:after="0" w:line="400" w:lineRule="exact"/>
        <w:ind w:left="0" w:leftChars="0" w:firstLine="420" w:firstLineChars="200"/>
        <w:rPr>
          <w:rFonts w:ascii="宋体" w:hAnsi="宋体"/>
          <w:color w:val="auto"/>
          <w:szCs w:val="21"/>
          <w:highlight w:val="none"/>
          <w:u w:val="single"/>
        </w:rPr>
      </w:pPr>
      <w:r>
        <w:rPr>
          <w:rFonts w:hint="eastAsia" w:ascii="宋体" w:hAnsi="宋体"/>
          <w:color w:val="auto"/>
          <w:szCs w:val="21"/>
          <w:highlight w:val="none"/>
        </w:rPr>
        <w:t>采购项目名称：</w:t>
      </w:r>
      <w:r>
        <w:rPr>
          <w:rFonts w:ascii="宋体" w:hAnsi="宋体"/>
          <w:color w:val="auto"/>
          <w:szCs w:val="21"/>
          <w:highlight w:val="none"/>
          <w:u w:val="single"/>
        </w:rPr>
        <w:t xml:space="preserve">                                          </w:t>
      </w:r>
    </w:p>
    <w:p w14:paraId="5E202AE7">
      <w:pPr>
        <w:pStyle w:val="8"/>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color w:val="auto"/>
          <w:szCs w:val="21"/>
          <w:highlight w:val="none"/>
          <w:u w:val="none"/>
          <w:lang w:val="en-US" w:eastAsia="zh-CN"/>
        </w:rPr>
      </w:pPr>
      <w:r>
        <w:rPr>
          <w:rFonts w:hint="eastAsia" w:ascii="宋体" w:hAnsi="宋体"/>
          <w:color w:val="auto"/>
          <w:szCs w:val="21"/>
          <w:highlight w:val="none"/>
          <w:u w:val="none"/>
          <w:lang w:val="en-US" w:eastAsia="zh-CN"/>
        </w:rPr>
        <w:t xml:space="preserve">         采购项目编号：</w:t>
      </w:r>
      <w:r>
        <w:rPr>
          <w:rFonts w:ascii="宋体" w:hAnsi="宋体"/>
          <w:color w:val="auto"/>
          <w:szCs w:val="21"/>
          <w:highlight w:val="none"/>
          <w:u w:val="single"/>
        </w:rPr>
        <w:t xml:space="preserve">                                          </w:t>
      </w:r>
    </w:p>
    <w:p w14:paraId="1870B0C2">
      <w:pPr>
        <w:pStyle w:val="8"/>
        <w:adjustRightInd w:val="0"/>
        <w:snapToGrid w:val="0"/>
        <w:spacing w:before="0" w:beforeLines="0" w:after="0" w:line="400" w:lineRule="exact"/>
        <w:ind w:left="0" w:leftChars="0" w:firstLine="420" w:firstLineChars="200"/>
        <w:rPr>
          <w:rFonts w:ascii="宋体" w:hAnsi="宋体"/>
          <w:color w:val="auto"/>
          <w:szCs w:val="21"/>
          <w:highlight w:val="none"/>
        </w:rPr>
      </w:pPr>
      <w:r>
        <w:rPr>
          <w:rFonts w:hint="eastAsia" w:ascii="宋体" w:hAnsi="宋体"/>
          <w:color w:val="auto"/>
          <w:szCs w:val="21"/>
          <w:highlight w:val="none"/>
        </w:rPr>
        <w:t>（2）采购计划编号：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14:paraId="3A14326A">
      <w:pPr>
        <w:adjustRightInd w:val="0"/>
        <w:snapToGrid w:val="0"/>
        <w:spacing w:before="0" w:beforeLines="0"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（3）项目内容：</w:t>
      </w:r>
    </w:p>
    <w:p w14:paraId="08E765A5">
      <w:pPr>
        <w:adjustRightInd w:val="0"/>
        <w:snapToGrid w:val="0"/>
        <w:spacing w:before="0" w:beforeLines="0" w:line="40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采购标的及数量</w:t>
      </w:r>
      <w:r>
        <w:rPr>
          <w:rFonts w:hint="eastAsia" w:ascii="宋体" w:hAnsi="宋体"/>
          <w:color w:val="auto"/>
          <w:szCs w:val="21"/>
          <w:highlight w:val="none"/>
          <w:lang w:val="en-US" w:eastAsia="zh-CN"/>
        </w:rPr>
        <w:t>（台/套</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个</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架</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组等</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 xml:space="preserve"> </w:t>
      </w:r>
    </w:p>
    <w:p w14:paraId="50F0872D">
      <w:pPr>
        <w:numPr>
          <w:ilvl w:val="-1"/>
          <w:numId w:val="0"/>
        </w:numPr>
        <w:adjustRightInd w:val="0"/>
        <w:snapToGrid w:val="0"/>
        <w:spacing w:before="0" w:beforeLines="0" w:line="400" w:lineRule="exact"/>
        <w:ind w:firstLine="420" w:firstLineChars="200"/>
        <w:rPr>
          <w:rFonts w:hint="default" w:ascii="宋体" w:hAnsi="宋体" w:cs="宋体"/>
          <w:color w:val="auto"/>
          <w:szCs w:val="21"/>
          <w:highlight w:val="none"/>
          <w:lang w:val="en" w:eastAsia="zh-CN"/>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lang w:val="en-US" w:eastAsia="zh-CN"/>
        </w:rPr>
        <w:t>品牌：</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none"/>
          <w:lang w:val="en" w:eastAsia="zh-CN"/>
        </w:rPr>
        <w:t xml:space="preserve">     </w:t>
      </w:r>
      <w:r>
        <w:rPr>
          <w:rFonts w:hint="eastAsia" w:ascii="宋体" w:hAnsi="宋体" w:cs="宋体"/>
          <w:color w:val="auto"/>
          <w:szCs w:val="21"/>
          <w:highlight w:val="none"/>
          <w:lang w:val="en-US" w:eastAsia="zh-CN"/>
        </w:rPr>
        <w:t>规格型号：</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p>
    <w:p w14:paraId="54478A0C">
      <w:pPr>
        <w:adjustRightInd w:val="0"/>
        <w:snapToGrid w:val="0"/>
        <w:spacing w:before="0" w:beforeLines="0"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u w:val="none"/>
          <w:lang w:val="en-US" w:eastAsia="zh-CN"/>
        </w:rPr>
        <w:t>采购标的的技术要求、商务要求具体见附件。</w:t>
      </w:r>
    </w:p>
    <w:p w14:paraId="7971C361">
      <w:pPr>
        <w:numPr>
          <w:ilvl w:val="-1"/>
          <w:numId w:val="0"/>
        </w:numPr>
        <w:adjustRightInd w:val="0"/>
        <w:snapToGrid w:val="0"/>
        <w:spacing w:before="0" w:beforeLines="0" w:line="400" w:lineRule="exact"/>
        <w:ind w:firstLine="945" w:firstLineChars="450"/>
        <w:rPr>
          <w:rFonts w:hint="eastAsia" w:ascii="宋体" w:hAnsi="宋体" w:cs="宋体"/>
          <w:color w:val="auto"/>
          <w:szCs w:val="21"/>
          <w:highlight w:val="none"/>
          <w:lang w:val="en-US" w:eastAsia="zh-CN"/>
        </w:rPr>
      </w:pPr>
      <w:r>
        <w:rPr>
          <w:rFonts w:hint="eastAsia" w:ascii="汉仪书宋二S" w:hAnsi="汉仪书宋二S" w:eastAsia="汉仪书宋二S" w:cs="汉仪书宋二S"/>
          <w:color w:val="auto"/>
          <w:szCs w:val="21"/>
          <w:highlight w:val="none"/>
          <w:lang w:val="en-US" w:eastAsia="zh-CN"/>
        </w:rPr>
        <w:t>①</w:t>
      </w:r>
      <w:r>
        <w:rPr>
          <w:rFonts w:hint="eastAsia" w:ascii="宋体" w:hAnsi="宋体" w:cs="宋体"/>
          <w:color w:val="auto"/>
          <w:szCs w:val="21"/>
          <w:highlight w:val="none"/>
          <w:lang w:val="en-US" w:eastAsia="zh-CN"/>
        </w:rPr>
        <w:t>涉及信息类产品，请填写该产品关键部件的品牌、型号：</w:t>
      </w:r>
    </w:p>
    <w:p w14:paraId="16E5E11B">
      <w:pPr>
        <w:numPr>
          <w:ilvl w:val="-1"/>
          <w:numId w:val="0"/>
        </w:numPr>
        <w:adjustRightInd w:val="0"/>
        <w:snapToGrid w:val="0"/>
        <w:spacing w:before="0" w:beforeLines="0" w:line="400" w:lineRule="exact"/>
        <w:ind w:firstLine="420" w:firstLineChars="200"/>
        <w:rPr>
          <w:rFonts w:hint="eastAsia" w:ascii="宋体" w:hAnsi="宋体" w:cs="宋体"/>
          <w:color w:val="auto"/>
          <w:kern w:val="0"/>
          <w:szCs w:val="21"/>
          <w:highlight w:val="none"/>
          <w:u w:val="single"/>
          <w:lang w:val="en-US" w:eastAsia="zh-CN"/>
        </w:rPr>
      </w:pPr>
      <w:r>
        <w:rPr>
          <w:rFonts w:hint="eastAsia" w:ascii="宋体" w:hAnsi="宋体" w:cs="宋体"/>
          <w:color w:val="auto"/>
          <w:szCs w:val="21"/>
          <w:highlight w:val="none"/>
          <w:lang w:val="en-US" w:eastAsia="zh-CN"/>
        </w:rPr>
        <w:t xml:space="preserve">     标的名称：</w:t>
      </w:r>
      <w:r>
        <w:rPr>
          <w:rFonts w:hint="eastAsia" w:ascii="宋体" w:hAnsi="宋体" w:cs="宋体"/>
          <w:color w:val="auto"/>
          <w:kern w:val="0"/>
          <w:szCs w:val="21"/>
          <w:highlight w:val="none"/>
          <w:u w:val="single"/>
          <w:lang w:val="en-US" w:eastAsia="zh-CN"/>
        </w:rPr>
        <w:t xml:space="preserve">      </w:t>
      </w:r>
      <w:r>
        <w:rPr>
          <w:rFonts w:hint="default" w:ascii="宋体" w:hAnsi="宋体" w:cs="宋体"/>
          <w:color w:val="auto"/>
          <w:kern w:val="0"/>
          <w:szCs w:val="21"/>
          <w:highlight w:val="none"/>
          <w:u w:val="single"/>
          <w:lang w:val="en" w:eastAsia="zh-CN"/>
        </w:rPr>
        <w:t xml:space="preserve">               </w:t>
      </w:r>
      <w:r>
        <w:rPr>
          <w:rFonts w:hint="eastAsia" w:ascii="宋体" w:hAnsi="宋体" w:cs="宋体"/>
          <w:color w:val="auto"/>
          <w:kern w:val="0"/>
          <w:szCs w:val="21"/>
          <w:highlight w:val="none"/>
          <w:u w:val="single"/>
          <w:lang w:val="en-US" w:eastAsia="zh-CN"/>
        </w:rPr>
        <w:t xml:space="preserve">    </w:t>
      </w:r>
    </w:p>
    <w:p w14:paraId="30E62396">
      <w:pPr>
        <w:numPr>
          <w:ilvl w:val="-1"/>
          <w:numId w:val="0"/>
        </w:numPr>
        <w:adjustRightInd w:val="0"/>
        <w:snapToGrid w:val="0"/>
        <w:spacing w:before="0" w:beforeLines="0"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关键部件：</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 xml:space="preserve"> </w:t>
      </w:r>
      <w:r>
        <w:rPr>
          <w:rFonts w:hint="eastAsia" w:ascii="宋体" w:hAnsi="宋体" w:cs="宋体"/>
          <w:color w:val="auto"/>
          <w:szCs w:val="21"/>
          <w:highlight w:val="none"/>
          <w:lang w:val="en-US" w:eastAsia="zh-CN"/>
        </w:rPr>
        <w:t>品牌：</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lang w:val="en-US" w:eastAsia="zh-CN"/>
        </w:rPr>
        <w:t>型号：</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p>
    <w:p w14:paraId="682B839E">
      <w:pPr>
        <w:pStyle w:val="21"/>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关键部件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0CF6623D">
      <w:pPr>
        <w:pStyle w:val="21"/>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p>
    <w:p w14:paraId="2AD99029">
      <w:pPr>
        <w:pStyle w:val="21"/>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24A5ADD6">
      <w:pPr>
        <w:pStyle w:val="21"/>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汉仪书宋二S" w:hAnsi="汉仪书宋二S" w:eastAsia="汉仪书宋二S" w:cs="汉仪书宋二S"/>
          <w:color w:val="auto"/>
          <w:sz w:val="21"/>
          <w:szCs w:val="21"/>
          <w:highlight w:val="none"/>
          <w:lang w:val="en-US" w:eastAsia="zh-CN"/>
        </w:rPr>
        <w:t>②</w:t>
      </w:r>
      <w:r>
        <w:rPr>
          <w:rFonts w:hint="eastAsia" w:ascii="宋体" w:hAnsi="宋体" w:eastAsia="宋体" w:cs="宋体"/>
          <w:color w:val="auto"/>
          <w:sz w:val="21"/>
          <w:szCs w:val="21"/>
          <w:highlight w:val="none"/>
          <w:lang w:val="en-US" w:eastAsia="zh-CN"/>
        </w:rPr>
        <w:t>涉及车辆采购，请填写是否属于新能源汽车：</w:t>
      </w:r>
    </w:p>
    <w:p w14:paraId="054A18E5">
      <w:pPr>
        <w:pStyle w:val="21"/>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rPr>
        <w:t>是</w:t>
      </w:r>
      <w:r>
        <w:rPr>
          <w:rFonts w:hint="eastAsia" w:asciiTheme="minorEastAsia" w:hAnsiTheme="minorEastAsia" w:eastAsiaTheme="minorEastAsia" w:cstheme="minorEastAsia"/>
          <w:iCs w:val="0"/>
          <w:color w:val="auto"/>
          <w:sz w:val="21"/>
          <w:szCs w:val="21"/>
          <w:highlight w:val="none"/>
          <w:lang w:eastAsia="zh-CN"/>
        </w:rPr>
        <w:t>，《政府采购品目分类目录》底级品目名称</w:t>
      </w:r>
      <w:r>
        <w:rPr>
          <w:rFonts w:hint="eastAsia" w:asciiTheme="minorEastAsia" w:hAnsiTheme="minorEastAsia" w:eastAsiaTheme="minorEastAsia" w:cstheme="minorEastAsia"/>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数量：</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r>
        <w:rPr>
          <w:rFonts w:hint="eastAsia" w:asciiTheme="minorEastAsia" w:hAnsiTheme="minorEastAsia" w:eastAsiaTheme="minorEastAsia" w:cstheme="minorEastAsia"/>
          <w:iCs w:val="0"/>
          <w:color w:val="auto"/>
          <w:sz w:val="21"/>
          <w:szCs w:val="21"/>
          <w:highlight w:val="none"/>
          <w:lang w:val="en-US" w:eastAsia="zh-CN"/>
        </w:rPr>
        <w:t xml:space="preserve"> </w:t>
      </w:r>
    </w:p>
    <w:p w14:paraId="132E292C">
      <w:pPr>
        <w:pStyle w:val="21"/>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auto"/>
          <w:sz w:val="21"/>
          <w:szCs w:val="21"/>
          <w:highlight w:val="none"/>
          <w:lang w:eastAsia="zh-CN"/>
        </w:rPr>
      </w:pP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否</w:t>
      </w:r>
    </w:p>
    <w:p w14:paraId="31B2E1D2">
      <w:pPr>
        <w:pStyle w:val="21"/>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color w:val="auto"/>
          <w:sz w:val="21"/>
          <w:szCs w:val="21"/>
          <w:highlight w:val="none"/>
          <w:lang w:val="en-US" w:eastAsia="zh-CN"/>
        </w:rPr>
      </w:pP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default" w:asciiTheme="minorEastAsia" w:hAnsiTheme="minorEastAsia" w:eastAsiaTheme="minorEastAsia" w:cstheme="minorEastAsia"/>
          <w:iCs w:val="0"/>
          <w:color w:val="auto"/>
          <w:sz w:val="21"/>
          <w:szCs w:val="21"/>
          <w:highlight w:val="none"/>
          <w:lang w:val="en" w:eastAsia="zh-CN"/>
        </w:rPr>
        <w:t>4</w:t>
      </w:r>
      <w:r>
        <w:rPr>
          <w:rFonts w:hint="eastAsia" w:asciiTheme="minorEastAsia" w:hAnsiTheme="minorEastAsia" w:eastAsiaTheme="minorEastAsia" w:cstheme="minorEastAsia"/>
          <w:iCs w:val="0"/>
          <w:color w:val="auto"/>
          <w:sz w:val="21"/>
          <w:szCs w:val="21"/>
          <w:highlight w:val="none"/>
          <w:lang w:val="en-US" w:eastAsia="zh-CN"/>
        </w:rPr>
        <w:t>）政府采购组织形式：</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政府集中采购</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val="en-US" w:eastAsia="zh-CN"/>
        </w:rPr>
        <w:t xml:space="preserve">部门集中采购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val="en-US" w:eastAsia="zh-CN"/>
        </w:rPr>
        <w:t>分散采购</w:t>
      </w:r>
    </w:p>
    <w:p w14:paraId="6F393D70">
      <w:pPr>
        <w:pStyle w:val="21"/>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color w:val="auto"/>
          <w:sz w:val="21"/>
          <w:szCs w:val="21"/>
          <w:highlight w:val="none"/>
          <w:lang w:eastAsia="zh-CN"/>
        </w:rPr>
      </w:pPr>
      <w:r>
        <w:rPr>
          <w:rFonts w:hint="eastAsia" w:asciiTheme="minorEastAsia" w:hAnsiTheme="minorEastAsia" w:eastAsiaTheme="minorEastAsia" w:cstheme="minorEastAsia"/>
          <w:iCs w:val="0"/>
          <w:color w:val="auto"/>
          <w:sz w:val="21"/>
          <w:szCs w:val="21"/>
          <w:highlight w:val="none"/>
          <w:lang w:val="en-US" w:eastAsia="zh-CN"/>
        </w:rPr>
        <w:t>（</w:t>
      </w:r>
      <w:r>
        <w:rPr>
          <w:rFonts w:hint="default" w:asciiTheme="minorEastAsia" w:hAnsiTheme="minorEastAsia" w:eastAsiaTheme="minorEastAsia" w:cstheme="minorEastAsia"/>
          <w:iCs w:val="0"/>
          <w:color w:val="auto"/>
          <w:sz w:val="21"/>
          <w:szCs w:val="21"/>
          <w:highlight w:val="none"/>
          <w:lang w:val="en" w:eastAsia="zh-CN"/>
        </w:rPr>
        <w:t>5</w:t>
      </w:r>
      <w:r>
        <w:rPr>
          <w:rFonts w:hint="eastAsia" w:asciiTheme="minorEastAsia" w:hAnsiTheme="minorEastAsia" w:eastAsiaTheme="minorEastAsia" w:cstheme="minorEastAsia"/>
          <w:iCs w:val="0"/>
          <w:color w:val="auto"/>
          <w:sz w:val="21"/>
          <w:szCs w:val="21"/>
          <w:highlight w:val="none"/>
          <w:lang w:val="en-US" w:eastAsia="zh-CN"/>
        </w:rPr>
        <w:t>）政府采购方式：</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公开招标</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邀请招标</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竞争性谈判</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竞争性磋商</w:t>
      </w:r>
    </w:p>
    <w:p w14:paraId="65C25AAE">
      <w:pPr>
        <w:pStyle w:val="21"/>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single"/>
          <w:lang w:val="en-US" w:eastAsia="zh-CN"/>
        </w:rPr>
      </w:pPr>
      <w:r>
        <w:rPr>
          <w:rFonts w:hint="eastAsia" w:ascii="宋体" w:hAnsi="宋体" w:cs="宋体"/>
          <w:color w:val="auto"/>
          <w:szCs w:val="21"/>
          <w:highlight w:val="none"/>
          <w:u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询价</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单一来源</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框架协议</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其他：</w:t>
      </w:r>
      <w:r>
        <w:rPr>
          <w:rFonts w:hint="eastAsia" w:ascii="宋体" w:hAnsi="宋体" w:eastAsia="宋体" w:cs="宋体"/>
          <w:iCs w:val="0"/>
          <w:color w:val="auto"/>
          <w:sz w:val="21"/>
          <w:szCs w:val="21"/>
          <w:highlight w:val="none"/>
          <w:u w:val="single"/>
          <w:lang w:val="en-US" w:eastAsia="zh-CN"/>
        </w:rPr>
        <w:t xml:space="preserve">          </w:t>
      </w:r>
    </w:p>
    <w:p w14:paraId="7E69F0BF">
      <w:pPr>
        <w:pStyle w:val="21"/>
        <w:numPr>
          <w:ilvl w:val="-1"/>
          <w:numId w:val="0"/>
        </w:numPr>
        <w:adjustRightInd w:val="0"/>
        <w:snapToGrid w:val="0"/>
        <w:spacing w:before="0" w:beforeLines="0" w:line="400" w:lineRule="exact"/>
        <w:ind w:left="0" w:firstLine="420" w:firstLineChars="0"/>
        <w:rPr>
          <w:rFonts w:hint="default" w:ascii="宋体" w:hAnsi="宋体" w:eastAsia="宋体" w:cs="宋体"/>
          <w:iCs w:val="0"/>
          <w:color w:val="auto"/>
          <w:sz w:val="21"/>
          <w:szCs w:val="21"/>
          <w:highlight w:val="none"/>
          <w:u w:val="none"/>
          <w:lang w:val="en-US" w:eastAsia="zh-CN"/>
        </w:rPr>
      </w:pPr>
      <w:r>
        <w:rPr>
          <w:rFonts w:hint="eastAsia" w:ascii="宋体" w:hAnsi="宋体" w:eastAsia="宋体" w:cs="宋体"/>
          <w:iCs w:val="0"/>
          <w:color w:val="auto"/>
          <w:sz w:val="21"/>
          <w:szCs w:val="21"/>
          <w:highlight w:val="none"/>
          <w:u w:val="none"/>
          <w:lang w:val="en-US" w:eastAsia="zh-CN"/>
        </w:rPr>
        <w:t>（注：在框架协议采购的第二阶段，可选择使用该合同文本）</w:t>
      </w:r>
    </w:p>
    <w:p w14:paraId="5FCBC331">
      <w:pPr>
        <w:pStyle w:val="21"/>
        <w:numPr>
          <w:ilvl w:val="-1"/>
          <w:numId w:val="0"/>
        </w:numPr>
        <w:adjustRightInd w:val="0"/>
        <w:snapToGrid w:val="0"/>
        <w:spacing w:before="0" w:beforeLines="0" w:line="400" w:lineRule="exact"/>
        <w:ind w:firstLine="220" w:firstLineChars="100"/>
        <w:rPr>
          <w:rFonts w:hint="eastAsia" w:ascii="宋体" w:hAnsi="宋体" w:eastAsia="宋体" w:cs="Times New Roman"/>
          <w:color w:val="auto"/>
          <w:w w:val="100"/>
          <w:kern w:val="2"/>
          <w:sz w:val="21"/>
          <w:szCs w:val="21"/>
          <w:highlight w:val="none"/>
          <w:lang w:val="en-US" w:eastAsia="zh-CN" w:bidi="ar-SA"/>
        </w:rPr>
      </w:pPr>
      <w:r>
        <w:rPr>
          <w:rFonts w:hint="eastAsia" w:ascii="宋体" w:hAnsi="宋体"/>
          <w:color w:val="auto"/>
          <w:szCs w:val="21"/>
          <w:highlight w:val="none"/>
          <w:lang w:val="en-US" w:eastAsia="zh-CN"/>
        </w:rPr>
        <w:t xml:space="preserve"> （</w:t>
      </w:r>
      <w:r>
        <w:rPr>
          <w:rFonts w:hint="default" w:ascii="宋体" w:hAnsi="宋体"/>
          <w:color w:val="auto"/>
          <w:szCs w:val="21"/>
          <w:highlight w:val="none"/>
          <w:lang w:val="en" w:eastAsia="zh-CN"/>
        </w:rPr>
        <w:t>6</w:t>
      </w:r>
      <w:r>
        <w:rPr>
          <w:rFonts w:hint="eastAsia" w:ascii="宋体" w:hAnsi="宋体"/>
          <w:color w:val="auto"/>
          <w:szCs w:val="21"/>
          <w:highlight w:val="none"/>
          <w:lang w:val="en-US" w:eastAsia="zh-CN"/>
        </w:rPr>
        <w:t>）</w:t>
      </w:r>
      <w:r>
        <w:rPr>
          <w:rFonts w:hint="eastAsia" w:ascii="宋体" w:hAnsi="宋体" w:eastAsia="宋体" w:cs="Times New Roman"/>
          <w:color w:val="auto"/>
          <w:w w:val="100"/>
          <w:kern w:val="2"/>
          <w:sz w:val="21"/>
          <w:szCs w:val="21"/>
          <w:highlight w:val="none"/>
          <w:lang w:val="en-US" w:eastAsia="zh-CN" w:bidi="ar-SA"/>
        </w:rPr>
        <w:t>中标（成交）采购标的制造商是否为中小企业：</w:t>
      </w:r>
      <w:r>
        <w:rPr>
          <w:rFonts w:hint="eastAsia" w:ascii="宋体" w:hAnsi="宋体" w:eastAsia="宋体" w:cs="Times New Roman"/>
          <w:color w:val="auto"/>
          <w:w w:val="100"/>
          <w:kern w:val="2"/>
          <w:sz w:val="21"/>
          <w:szCs w:val="21"/>
          <w:highlight w:val="none"/>
          <w:lang w:val="en-US" w:eastAsia="zh-CN" w:bidi="ar-SA"/>
        </w:rPr>
        <w:sym w:font="Wingdings" w:char="00A8"/>
      </w:r>
      <w:r>
        <w:rPr>
          <w:rFonts w:hint="eastAsia" w:ascii="宋体" w:hAnsi="宋体" w:eastAsia="宋体" w:cs="Times New Roman"/>
          <w:color w:val="auto"/>
          <w:w w:val="100"/>
          <w:kern w:val="2"/>
          <w:sz w:val="21"/>
          <w:szCs w:val="21"/>
          <w:highlight w:val="none"/>
          <w:lang w:val="en-US" w:eastAsia="zh-CN" w:bidi="ar-SA"/>
        </w:rPr>
        <w:t xml:space="preserve">是      </w:t>
      </w:r>
      <w:r>
        <w:rPr>
          <w:rFonts w:hint="eastAsia" w:ascii="宋体" w:hAnsi="宋体" w:eastAsia="宋体" w:cs="Times New Roman"/>
          <w:color w:val="auto"/>
          <w:w w:val="100"/>
          <w:kern w:val="2"/>
          <w:sz w:val="21"/>
          <w:szCs w:val="21"/>
          <w:highlight w:val="none"/>
          <w:lang w:val="en-US" w:eastAsia="zh-CN" w:bidi="ar-SA"/>
        </w:rPr>
        <w:sym w:font="Wingdings" w:char="00A8"/>
      </w:r>
      <w:r>
        <w:rPr>
          <w:rFonts w:hint="eastAsia" w:ascii="宋体" w:hAnsi="宋体" w:eastAsia="宋体" w:cs="Times New Roman"/>
          <w:color w:val="auto"/>
          <w:w w:val="100"/>
          <w:kern w:val="2"/>
          <w:sz w:val="21"/>
          <w:szCs w:val="21"/>
          <w:highlight w:val="none"/>
          <w:lang w:val="en-US" w:eastAsia="zh-CN" w:bidi="ar-SA"/>
        </w:rPr>
        <w:t>否</w:t>
      </w:r>
    </w:p>
    <w:p w14:paraId="4774246A">
      <w:pPr>
        <w:numPr>
          <w:ilvl w:val="-1"/>
          <w:numId w:val="0"/>
        </w:numPr>
        <w:adjustRightInd w:val="0"/>
        <w:snapToGrid w:val="0"/>
        <w:spacing w:before="0" w:beforeLines="0" w:line="400" w:lineRule="exact"/>
        <w:ind w:left="0" w:leftChars="0" w:firstLine="0" w:firstLineChars="0"/>
        <w:rPr>
          <w:rFonts w:hint="eastAsia" w:ascii="宋体" w:hAnsi="宋体"/>
          <w:iCs/>
          <w:color w:val="auto"/>
          <w:szCs w:val="21"/>
          <w:highlight w:val="none"/>
        </w:rPr>
      </w:pPr>
      <w:r>
        <w:rPr>
          <w:rFonts w:hint="eastAsia" w:ascii="宋体" w:hAnsi="宋体"/>
          <w:color w:val="auto"/>
          <w:w w:val="100"/>
          <w:szCs w:val="21"/>
          <w:highlight w:val="none"/>
          <w:lang w:val="en-US" w:eastAsia="zh-CN"/>
        </w:rPr>
        <w:t xml:space="preserve">         本合同</w:t>
      </w:r>
      <w:r>
        <w:rPr>
          <w:rFonts w:hint="eastAsia" w:ascii="宋体" w:hAnsi="宋体"/>
          <w:color w:val="auto"/>
          <w:w w:val="100"/>
          <w:szCs w:val="21"/>
          <w:highlight w:val="none"/>
        </w:rPr>
        <w:t>是否</w:t>
      </w:r>
      <w:r>
        <w:rPr>
          <w:rFonts w:hint="eastAsia" w:ascii="宋体" w:hAnsi="宋体"/>
          <w:color w:val="auto"/>
          <w:w w:val="100"/>
          <w:szCs w:val="21"/>
          <w:highlight w:val="none"/>
          <w:lang w:eastAsia="zh-CN"/>
        </w:rPr>
        <w:t>为专门面向</w:t>
      </w:r>
      <w:r>
        <w:rPr>
          <w:rFonts w:hint="eastAsia" w:ascii="宋体" w:hAnsi="宋体"/>
          <w:color w:val="auto"/>
          <w:w w:val="100"/>
          <w:szCs w:val="21"/>
          <w:highlight w:val="none"/>
        </w:rPr>
        <w:t>中小企业</w:t>
      </w:r>
      <w:r>
        <w:rPr>
          <w:rFonts w:hint="eastAsia" w:ascii="宋体" w:hAnsi="宋体"/>
          <w:color w:val="auto"/>
          <w:w w:val="100"/>
          <w:szCs w:val="21"/>
          <w:highlight w:val="none"/>
          <w:lang w:eastAsia="zh-CN"/>
        </w:rPr>
        <w:t>的采</w:t>
      </w:r>
      <w:r>
        <w:rPr>
          <w:rFonts w:hint="eastAsia" w:ascii="宋体" w:hAnsi="宋体"/>
          <w:color w:val="auto"/>
          <w:w w:val="100"/>
          <w:szCs w:val="21"/>
          <w:highlight w:val="none"/>
          <w:shd w:val="clear"/>
          <w:lang w:eastAsia="zh-CN"/>
        </w:rPr>
        <w:t>购</w:t>
      </w:r>
      <w:r>
        <w:rPr>
          <w:rFonts w:hint="eastAsia" w:ascii="宋体" w:hAnsi="宋体"/>
          <w:color w:val="auto"/>
          <w:w w:val="100"/>
          <w:szCs w:val="21"/>
          <w:highlight w:val="none"/>
          <w:shd w:val="clear"/>
        </w:rPr>
        <w:t>合同</w:t>
      </w:r>
      <w:r>
        <w:rPr>
          <w:rFonts w:hint="eastAsia" w:ascii="宋体" w:hAnsi="宋体"/>
          <w:color w:val="auto"/>
          <w:w w:val="100"/>
          <w:szCs w:val="21"/>
          <w:highlight w:val="none"/>
          <w:shd w:val="clear"/>
          <w:lang w:eastAsia="zh-CN"/>
        </w:rPr>
        <w:t>（中小企业预留合同）</w:t>
      </w:r>
      <w:r>
        <w:rPr>
          <w:rFonts w:hint="eastAsia" w:ascii="宋体" w:hAnsi="宋体"/>
          <w:color w:val="auto"/>
          <w:szCs w:val="21"/>
          <w:highlight w:val="none"/>
          <w:shd w:val="clear"/>
        </w:rPr>
        <w:t>：</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46DD17DA">
      <w:pPr>
        <w:numPr>
          <w:ilvl w:val="-1"/>
          <w:numId w:val="0"/>
        </w:numPr>
        <w:adjustRightInd w:val="0"/>
        <w:snapToGrid w:val="0"/>
        <w:spacing w:before="0" w:beforeLines="0" w:line="400" w:lineRule="exact"/>
        <w:ind w:firstLine="0" w:firstLineChars="0"/>
        <w:rPr>
          <w:rFonts w:hint="eastAsia" w:ascii="宋体" w:hAnsi="宋体"/>
          <w:iCs/>
          <w:color w:val="auto"/>
          <w:szCs w:val="21"/>
          <w:highlight w:val="none"/>
        </w:rPr>
      </w:pPr>
      <w:r>
        <w:rPr>
          <w:rFonts w:hint="eastAsia"/>
          <w:color w:val="auto"/>
          <w:highlight w:val="none"/>
          <w:lang w:val="en-US" w:eastAsia="zh-CN"/>
        </w:rPr>
        <w:t xml:space="preserve">         若本项目不专门面向中小企业采购，是否给予小微企业评审优惠：</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2DF8EA46">
      <w:pPr>
        <w:numPr>
          <w:ilvl w:val="-1"/>
          <w:numId w:val="0"/>
        </w:numPr>
        <w:adjustRightInd w:val="0"/>
        <w:snapToGrid w:val="0"/>
        <w:spacing w:before="0" w:beforeLines="0" w:line="400" w:lineRule="exact"/>
        <w:ind w:firstLine="0" w:firstLineChars="0"/>
        <w:rPr>
          <w:rFonts w:hint="eastAsia" w:ascii="宋体" w:hAnsi="宋体"/>
          <w:iCs/>
          <w:color w:val="auto"/>
          <w:szCs w:val="21"/>
          <w:highlight w:val="none"/>
        </w:rPr>
      </w:pPr>
      <w:r>
        <w:rPr>
          <w:rFonts w:hint="eastAsia"/>
          <w:color w:val="auto"/>
          <w:highlight w:val="none"/>
          <w:lang w:val="en-US" w:eastAsia="zh-CN"/>
        </w:rPr>
        <w:t xml:space="preserve">         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1E6AA9BE">
      <w:pPr>
        <w:numPr>
          <w:ilvl w:val="0"/>
          <w:numId w:val="0"/>
        </w:numPr>
        <w:snapToGrid w:val="0"/>
        <w:spacing w:beforeLines="0" w:line="400" w:lineRule="exact"/>
        <w:ind w:firstLine="0" w:firstLineChars="0"/>
        <w:rPr>
          <w:rFonts w:hint="default"/>
          <w:color w:val="auto"/>
          <w:highlight w:val="none"/>
          <w:lang w:val="en-US" w:eastAsia="zh-CN"/>
        </w:rPr>
      </w:pPr>
      <w:r>
        <w:rPr>
          <w:rFonts w:hint="eastAsia"/>
          <w:color w:val="auto"/>
          <w:highlight w:val="none"/>
          <w:lang w:val="en-US" w:eastAsia="zh-CN"/>
        </w:rPr>
        <w:t xml:space="preserve">         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5C7A5517">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lang w:val="en" w:eastAsia="zh-C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5BD621B9">
      <w:pPr>
        <w:adjustRightInd w:val="0"/>
        <w:snapToGrid w:val="0"/>
        <w:spacing w:before="0" w:beforeLines="0" w:line="400" w:lineRule="exact"/>
        <w:ind w:firstLine="840" w:firstLineChars="400"/>
        <w:rPr>
          <w:rFonts w:hint="eastAsia"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分包主要内容：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6BB9153C">
      <w:pPr>
        <w:adjustRightInd w:val="0"/>
        <w:snapToGrid w:val="0"/>
        <w:spacing w:before="0" w:beforeLines="0"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rPr>
        <w:t>分包供应商</w:t>
      </w:r>
      <w:r>
        <w:rPr>
          <w:rFonts w:hint="eastAsia" w:ascii="宋体" w:hAnsi="宋体"/>
          <w:color w:val="auto"/>
          <w:szCs w:val="21"/>
          <w:highlight w:val="none"/>
          <w:lang w:eastAsia="zh-CN"/>
        </w:rPr>
        <w:t>/制造商</w:t>
      </w:r>
      <w:r>
        <w:rPr>
          <w:rFonts w:hint="eastAsia" w:ascii="宋体" w:hAnsi="宋体"/>
          <w:color w:val="auto"/>
          <w:szCs w:val="21"/>
          <w:highlight w:val="none"/>
        </w:rPr>
        <w:t>名称</w:t>
      </w:r>
      <w:r>
        <w:rPr>
          <w:rFonts w:hint="eastAsia" w:ascii="宋体" w:hAnsi="宋体"/>
          <w:color w:val="auto"/>
          <w:szCs w:val="21"/>
          <w:highlight w:val="none"/>
          <w:lang w:eastAsia="zh-CN"/>
        </w:rPr>
        <w:t>（如供应商和制造商不同，请分别填写）</w:t>
      </w:r>
      <w:r>
        <w:rPr>
          <w:rFonts w:hint="eastAsia" w:ascii="宋体" w:hAnsi="宋体"/>
          <w:color w:val="auto"/>
          <w:szCs w:val="21"/>
          <w:highlight w:val="none"/>
        </w:rPr>
        <w:t>：</w:t>
      </w:r>
    </w:p>
    <w:p w14:paraId="0395A066">
      <w:pPr>
        <w:adjustRightInd w:val="0"/>
        <w:snapToGrid w:val="0"/>
        <w:spacing w:before="0" w:beforeLines="0"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u w:val="non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p>
    <w:p w14:paraId="1C0BB02A">
      <w:pPr>
        <w:adjustRightInd w:val="0"/>
        <w:snapToGrid w:val="0"/>
        <w:spacing w:before="0" w:beforeLines="0"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分包供应商</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制造商</w:t>
      </w:r>
      <w:r>
        <w:rPr>
          <w:rFonts w:hint="eastAsia" w:ascii="宋体" w:hAnsi="宋体"/>
          <w:color w:val="auto"/>
          <w:szCs w:val="21"/>
          <w:highlight w:val="none"/>
        </w:rPr>
        <w:t>类型</w:t>
      </w:r>
      <w:r>
        <w:rPr>
          <w:rFonts w:hint="eastAsia" w:ascii="宋体" w:hAnsi="宋体"/>
          <w:color w:val="auto"/>
          <w:szCs w:val="21"/>
          <w:highlight w:val="none"/>
          <w:lang w:eastAsia="zh-CN"/>
        </w:rPr>
        <w:t>（如果供应商和制造商不同，只填写制造商类型）</w:t>
      </w:r>
      <w:r>
        <w:rPr>
          <w:rFonts w:hint="eastAsia" w:ascii="宋体" w:hAnsi="宋体"/>
          <w:color w:val="auto"/>
          <w:szCs w:val="21"/>
          <w:highlight w:val="none"/>
        </w:rPr>
        <w:t>：</w:t>
      </w:r>
    </w:p>
    <w:p w14:paraId="18F941BC">
      <w:pPr>
        <w:adjustRightInd w:val="0"/>
        <w:snapToGrid w:val="0"/>
        <w:spacing w:beforeLines="0" w:line="400" w:lineRule="exact"/>
        <w:ind w:firstLine="840" w:firstLineChars="40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小微型企业</w:t>
      </w:r>
      <w:r>
        <w:rPr>
          <w:rFonts w:hint="eastAsia" w:ascii="宋体" w:hAnsi="宋体"/>
          <w:iCs/>
          <w:color w:val="auto"/>
          <w:szCs w:val="21"/>
          <w:highlight w:val="none"/>
          <w:lang w:val="en-US" w:eastAsia="zh-CN"/>
        </w:rPr>
        <w:t xml:space="preserve">  </w:t>
      </w:r>
    </w:p>
    <w:p w14:paraId="748374F9">
      <w:pPr>
        <w:adjustRightInd w:val="0"/>
        <w:snapToGrid w:val="0"/>
        <w:spacing w:beforeLines="0" w:line="400" w:lineRule="exact"/>
        <w:ind w:firstLine="840" w:firstLineChars="400"/>
        <w:rPr>
          <w:rFonts w:hint="default" w:eastAsia="华文楷体"/>
          <w:color w:val="auto"/>
          <w:highlight w:val="none"/>
          <w:u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残疾人福利性单位</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监狱</w:t>
      </w:r>
      <w:r>
        <w:rPr>
          <w:rFonts w:hint="eastAsia" w:ascii="宋体" w:hAnsi="宋体"/>
          <w:iCs/>
          <w:color w:val="auto"/>
          <w:szCs w:val="21"/>
          <w:highlight w:val="none"/>
        </w:rPr>
        <w:t>企业</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其他</w:t>
      </w:r>
    </w:p>
    <w:p w14:paraId="61BAC607">
      <w:pPr>
        <w:numPr>
          <w:ilvl w:val="-1"/>
          <w:numId w:val="0"/>
        </w:numPr>
        <w:adjustRightInd w:val="0"/>
        <w:snapToGrid w:val="0"/>
        <w:spacing w:before="0" w:beforeLines="0" w:line="400" w:lineRule="exact"/>
        <w:ind w:left="0" w:leftChars="0" w:firstLine="0" w:firstLineChars="0"/>
        <w:rPr>
          <w:rFonts w:hint="eastAsia" w:ascii="宋体" w:hAnsi="宋体" w:cs="宋体"/>
          <w:iCs/>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u w:val="none"/>
          <w:lang w:val="en-US" w:eastAsia="zh-CN"/>
        </w:rPr>
        <w:t>（</w:t>
      </w:r>
      <w:r>
        <w:rPr>
          <w:rFonts w:hint="default" w:ascii="宋体" w:hAnsi="宋体" w:cs="宋体"/>
          <w:color w:val="auto"/>
          <w:szCs w:val="21"/>
          <w:highlight w:val="none"/>
          <w:u w:val="none"/>
          <w:lang w:val="en" w:eastAsia="zh-CN"/>
        </w:rPr>
        <w:t>8</w:t>
      </w:r>
      <w:r>
        <w:rPr>
          <w:rFonts w:hint="eastAsia" w:ascii="宋体" w:hAnsi="宋体" w:cs="宋体"/>
          <w:color w:val="auto"/>
          <w:szCs w:val="21"/>
          <w:highlight w:val="none"/>
          <w:u w:val="none"/>
          <w:lang w:val="en-US" w:eastAsia="zh-CN"/>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67BCC8C1">
      <w:pPr>
        <w:pStyle w:val="21"/>
        <w:tabs>
          <w:tab w:val="left" w:pos="1340"/>
        </w:tabs>
        <w:spacing w:beforeLine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4EB672A0">
      <w:pPr>
        <w:numPr>
          <w:ilvl w:val="-1"/>
          <w:numId w:val="0"/>
        </w:numPr>
        <w:adjustRightInd w:val="0"/>
        <w:snapToGrid w:val="0"/>
        <w:spacing w:before="0" w:beforeLines="0" w:line="400" w:lineRule="exact"/>
        <w:ind w:firstLine="420" w:firstLineChars="20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w:t>
      </w:r>
      <w:r>
        <w:rPr>
          <w:rFonts w:hint="default" w:ascii="宋体" w:hAnsi="宋体" w:cs="宋体"/>
          <w:b w:val="0"/>
          <w:bCs w:val="0"/>
          <w:color w:val="auto"/>
          <w:sz w:val="21"/>
          <w:szCs w:val="21"/>
          <w:highlight w:val="none"/>
          <w:u w:val="none"/>
          <w:lang w:val="en" w:eastAsia="zh-CN"/>
        </w:rPr>
        <w:t>9</w:t>
      </w:r>
      <w:r>
        <w:rPr>
          <w:rFonts w:hint="eastAsia" w:ascii="宋体" w:hAnsi="宋体" w:eastAsia="宋体" w:cs="宋体"/>
          <w:b w:val="0"/>
          <w:bCs w:val="0"/>
          <w:color w:val="auto"/>
          <w:sz w:val="21"/>
          <w:szCs w:val="21"/>
          <w:highlight w:val="none"/>
          <w:u w:val="none"/>
          <w:lang w:val="en-US" w:eastAsia="zh-CN"/>
        </w:rPr>
        <w:t>）是否涉及进口产品：</w:t>
      </w:r>
    </w:p>
    <w:p w14:paraId="646CFD31">
      <w:pPr>
        <w:numPr>
          <w:ilvl w:val="-1"/>
          <w:numId w:val="0"/>
        </w:numPr>
        <w:adjustRightInd w:val="0"/>
        <w:snapToGrid w:val="0"/>
        <w:spacing w:before="0" w:beforeLines="0" w:line="400" w:lineRule="exact"/>
        <w:ind w:firstLine="840" w:firstLineChars="400"/>
        <w:rPr>
          <w:rFonts w:hint="eastAsia" w:ascii="宋体" w:hAnsi="宋体" w:eastAsia="宋体" w:cs="宋体"/>
          <w:color w:val="auto"/>
          <w:szCs w:val="21"/>
          <w:highlight w:val="none"/>
          <w:u w:val="single"/>
          <w:lang w:val="en-US" w:eastAsia="zh-CN"/>
        </w:rPr>
      </w:pPr>
      <w:r>
        <w:rPr>
          <w:rFonts w:hint="eastAsia" w:ascii="宋体" w:hAnsi="宋体" w:cs="宋体"/>
          <w:iCs w:val="0"/>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是</w:t>
      </w:r>
      <w:r>
        <w:rPr>
          <w:rFonts w:hint="eastAsia" w:ascii="宋体" w:hAnsi="宋体" w:eastAsia="宋体" w:cs="宋体"/>
          <w:iCs w:val="0"/>
          <w:color w:val="auto"/>
          <w:szCs w:val="21"/>
          <w:highlight w:val="none"/>
          <w:lang w:eastAsia="zh-CN"/>
        </w:rPr>
        <w:t>，</w:t>
      </w:r>
      <w:r>
        <w:rPr>
          <w:rFonts w:hint="eastAsia" w:ascii="宋体" w:hAnsi="宋体" w:cs="宋体"/>
          <w:iCs w:val="0"/>
          <w:color w:val="auto"/>
          <w:szCs w:val="21"/>
          <w:highlight w:val="none"/>
          <w:lang w:eastAsia="zh-CN"/>
        </w:rPr>
        <w:t>《政府采购品目分类目录》底级品目名称</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金额：</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p>
    <w:p w14:paraId="28FDDB59">
      <w:pPr>
        <w:numPr>
          <w:ilvl w:val="-1"/>
          <w:numId w:val="0"/>
        </w:numPr>
        <w:adjustRightInd w:val="0"/>
        <w:snapToGrid w:val="0"/>
        <w:spacing w:before="0" w:beforeLines="0" w:line="400" w:lineRule="exact"/>
        <w:ind w:firstLine="840" w:firstLineChars="400"/>
        <w:rPr>
          <w:rFonts w:hint="eastAsia" w:ascii="宋体" w:hAnsi="宋体" w:eastAsia="宋体"/>
          <w:iCs w:val="0"/>
          <w:color w:val="auto"/>
          <w:szCs w:val="21"/>
          <w:highlight w:val="none"/>
        </w:rPr>
      </w:pPr>
      <w:r>
        <w:rPr>
          <w:rFonts w:hint="eastAsia" w:ascii="宋体" w:hAnsi="宋体" w:cs="宋体"/>
          <w:color w:val="auto"/>
          <w:szCs w:val="21"/>
          <w:highlight w:val="none"/>
          <w:lang w:val="en-US" w:eastAsia="zh-CN"/>
        </w:rPr>
        <w:t xml:space="preserve">        国别：</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品牌：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规格型号：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iCs w:val="0"/>
          <w:color w:val="auto"/>
          <w:szCs w:val="21"/>
          <w:highlight w:val="none"/>
        </w:rPr>
        <w:t xml:space="preserve">      </w:t>
      </w:r>
    </w:p>
    <w:p w14:paraId="68DE5482">
      <w:pPr>
        <w:adjustRightInd w:val="0"/>
        <w:snapToGrid w:val="0"/>
        <w:spacing w:before="0" w:beforeLines="0" w:line="400" w:lineRule="exact"/>
        <w:ind w:firstLine="840" w:firstLineChars="400"/>
        <w:rPr>
          <w:rFonts w:hint="eastAsia" w:ascii="宋体" w:hAnsi="宋体"/>
          <w:color w:val="auto"/>
          <w:szCs w:val="21"/>
          <w:highlight w:val="none"/>
          <w:u w:val="none"/>
          <w:lang w:val="en-US" w:eastAsia="zh-CN"/>
        </w:rPr>
      </w:pPr>
      <w:r>
        <w:rPr>
          <w:rFonts w:hint="eastAsia" w:ascii="宋体" w:hAnsi="宋体"/>
          <w:iCs w:val="0"/>
          <w:color w:val="auto"/>
          <w:szCs w:val="21"/>
          <w:highlight w:val="none"/>
          <w:lang w:val="en-US" w:eastAsia="zh-CN"/>
        </w:rPr>
        <w:t xml:space="preserve"> </w:t>
      </w:r>
      <w:r>
        <w:rPr>
          <w:rFonts w:hint="eastAsia" w:ascii="宋体" w:hAnsi="宋体"/>
          <w:iCs w:val="0"/>
          <w:color w:val="auto"/>
          <w:szCs w:val="21"/>
          <w:highlight w:val="none"/>
        </w:rPr>
        <w:sym w:font="Wingdings" w:char="00A8"/>
      </w:r>
      <w:r>
        <w:rPr>
          <w:rFonts w:hint="eastAsia" w:ascii="宋体" w:hAnsi="宋体" w:eastAsia="宋体"/>
          <w:iCs w:val="0"/>
          <w:color w:val="auto"/>
          <w:szCs w:val="21"/>
          <w:highlight w:val="none"/>
          <w:lang w:eastAsia="zh-CN"/>
        </w:rPr>
        <w:t>否</w:t>
      </w:r>
    </w:p>
    <w:p w14:paraId="36FACB76">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（1</w:t>
      </w:r>
      <w:r>
        <w:rPr>
          <w:rFonts w:hint="default" w:ascii="宋体" w:hAnsi="宋体"/>
          <w:b w:val="0"/>
          <w:bCs w:val="0"/>
          <w:color w:val="auto"/>
          <w:sz w:val="21"/>
          <w:szCs w:val="21"/>
          <w:highlight w:val="none"/>
          <w:u w:val="none"/>
          <w:lang w:val="en" w:eastAsia="zh-CN"/>
        </w:rPr>
        <w:t>0</w:t>
      </w:r>
      <w:r>
        <w:rPr>
          <w:rFonts w:hint="eastAsia" w:ascii="宋体" w:hAnsi="宋体"/>
          <w:b w:val="0"/>
          <w:bCs w:val="0"/>
          <w:color w:val="auto"/>
          <w:sz w:val="21"/>
          <w:szCs w:val="21"/>
          <w:highlight w:val="none"/>
          <w:u w:val="none"/>
          <w:lang w:val="en-US" w:eastAsia="zh-CN"/>
        </w:rPr>
        <w:t>）</w:t>
      </w:r>
      <w:r>
        <w:rPr>
          <w:rFonts w:hint="eastAsia" w:ascii="宋体" w:hAnsi="宋体" w:eastAsia="宋体"/>
          <w:b w:val="0"/>
          <w:bCs w:val="0"/>
          <w:color w:val="auto"/>
          <w:sz w:val="21"/>
          <w:szCs w:val="21"/>
          <w:highlight w:val="none"/>
          <w:u w:val="none"/>
          <w:lang w:val="en-US" w:eastAsia="zh-CN"/>
        </w:rPr>
        <w:t>是否涉及节能产品：</w:t>
      </w:r>
    </w:p>
    <w:p w14:paraId="695A4A2B">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是</w:t>
      </w:r>
      <w:r>
        <w:rPr>
          <w:rFonts w:hint="eastAsia" w:ascii="宋体" w:hAnsi="宋体" w:eastAsia="宋体"/>
          <w:iCs w:val="0"/>
          <w:color w:val="auto"/>
          <w:szCs w:val="21"/>
          <w:highlight w:val="none"/>
          <w:lang w:eastAsia="zh-CN"/>
        </w:rPr>
        <w:t>，</w:t>
      </w:r>
      <w:r>
        <w:rPr>
          <w:rFonts w:hint="eastAsia" w:ascii="宋体" w:hAnsi="宋体"/>
          <w:iCs w:val="0"/>
          <w:color w:val="auto"/>
          <w:szCs w:val="21"/>
          <w:highlight w:val="none"/>
          <w:lang w:eastAsia="zh-CN"/>
        </w:rPr>
        <w:t>《节能产品政府采购品目清单》的底级品目名称：</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iCs/>
          <w:color w:val="auto"/>
          <w:szCs w:val="21"/>
          <w:highlight w:val="none"/>
          <w:lang w:val="en-US" w:eastAsia="zh-CN"/>
        </w:rPr>
        <w:t xml:space="preserve">     </w:t>
      </w:r>
    </w:p>
    <w:p w14:paraId="130364E2">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1A985BCE">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color w:val="auto"/>
          <w:szCs w:val="21"/>
          <w:highlight w:val="none"/>
        </w:rPr>
      </w:pPr>
      <w:r>
        <w:rPr>
          <w:rFonts w:hint="eastAsia" w:ascii="宋体" w:hAnsi="宋体"/>
          <w:iCs/>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p>
    <w:p w14:paraId="63C72F8A">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b w:val="0"/>
          <w:bCs w:val="0"/>
          <w:color w:val="auto"/>
          <w:sz w:val="21"/>
          <w:szCs w:val="21"/>
          <w:highlight w:val="none"/>
          <w:u w:val="none"/>
          <w:lang w:val="en-US" w:eastAsia="zh-CN"/>
        </w:rPr>
        <w:t>是否涉及</w:t>
      </w:r>
      <w:r>
        <w:rPr>
          <w:rFonts w:hint="eastAsia" w:ascii="宋体" w:hAnsi="宋体"/>
          <w:b w:val="0"/>
          <w:bCs w:val="0"/>
          <w:color w:val="auto"/>
          <w:sz w:val="21"/>
          <w:szCs w:val="21"/>
          <w:highlight w:val="none"/>
          <w:u w:val="none"/>
          <w:lang w:val="en-US" w:eastAsia="zh-CN"/>
        </w:rPr>
        <w:t>环境标志</w:t>
      </w:r>
      <w:r>
        <w:rPr>
          <w:rFonts w:hint="eastAsia" w:ascii="宋体" w:hAnsi="宋体" w:eastAsia="宋体"/>
          <w:b w:val="0"/>
          <w:bCs w:val="0"/>
          <w:color w:val="auto"/>
          <w:sz w:val="21"/>
          <w:szCs w:val="21"/>
          <w:highlight w:val="none"/>
          <w:u w:val="none"/>
          <w:lang w:val="en-US" w:eastAsia="zh-CN"/>
        </w:rPr>
        <w:t>产品：</w:t>
      </w:r>
    </w:p>
    <w:p w14:paraId="1CDA301E">
      <w:pPr>
        <w:numPr>
          <w:ilvl w:val="-1"/>
          <w:numId w:val="0"/>
        </w:numPr>
        <w:tabs>
          <w:tab w:val="left" w:pos="740"/>
        </w:tabs>
        <w:adjustRightInd w:val="0"/>
        <w:snapToGrid w:val="0"/>
        <w:spacing w:before="0" w:beforeLines="0" w:line="400" w:lineRule="exact"/>
        <w:ind w:firstLine="0" w:firstLineChars="0"/>
        <w:rPr>
          <w:rFonts w:hint="eastAsia" w:ascii="宋体" w:hAnsi="宋体"/>
          <w:iCs w:val="0"/>
          <w:color w:val="auto"/>
          <w:szCs w:val="21"/>
          <w:highlight w:val="none"/>
          <w:lang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是</w:t>
      </w:r>
      <w:r>
        <w:rPr>
          <w:rFonts w:hint="eastAsia" w:ascii="宋体" w:hAnsi="宋体" w:eastAsia="宋体"/>
          <w:iCs w:val="0"/>
          <w:color w:val="auto"/>
          <w:szCs w:val="21"/>
          <w:highlight w:val="none"/>
          <w:lang w:eastAsia="zh-CN"/>
        </w:rPr>
        <w:t>，</w:t>
      </w:r>
      <w:r>
        <w:rPr>
          <w:rFonts w:hint="eastAsia" w:ascii="宋体" w:hAnsi="宋体"/>
          <w:iCs w:val="0"/>
          <w:color w:val="auto"/>
          <w:szCs w:val="21"/>
          <w:highlight w:val="none"/>
          <w:lang w:eastAsia="zh-CN"/>
        </w:rPr>
        <w:t>《环境标志产品政府采购品目清单》的底级品目名称：</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iCs/>
          <w:color w:val="auto"/>
          <w:szCs w:val="21"/>
          <w:highlight w:val="none"/>
          <w:lang w:val="en-US" w:eastAsia="zh-CN"/>
        </w:rPr>
        <w:t xml:space="preserve"> </w:t>
      </w:r>
    </w:p>
    <w:p w14:paraId="459E868D">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557C9967">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color w:val="auto"/>
          <w:sz w:val="21"/>
          <w:szCs w:val="21"/>
          <w:highlight w:val="none"/>
          <w:u w:val="none"/>
          <w:lang w:val="en-US" w:eastAsia="zh-CN"/>
        </w:rPr>
      </w:pPr>
      <w:r>
        <w:rPr>
          <w:rFonts w:hint="eastAsia" w:ascii="宋体" w:hAnsi="宋体"/>
          <w:iCs/>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p>
    <w:p w14:paraId="3DF18F22">
      <w:pPr>
        <w:pStyle w:val="21"/>
        <w:numPr>
          <w:ilvl w:val="-1"/>
          <w:numId w:val="0"/>
        </w:numPr>
        <w:adjustRightInd w:val="0"/>
        <w:snapToGrid w:val="0"/>
        <w:spacing w:before="0" w:beforeLines="0" w:line="400" w:lineRule="exact"/>
        <w:ind w:firstLine="0" w:firstLineChars="0"/>
        <w:rPr>
          <w:rFonts w:hint="eastAsia" w:ascii="宋体" w:hAnsi="宋体" w:eastAsia="宋体" w:cs="Times New Roman"/>
          <w:iCs w:val="0"/>
          <w:color w:val="auto"/>
          <w:kern w:val="2"/>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cs="Times New Roman"/>
          <w:b w:val="0"/>
          <w:bCs w:val="0"/>
          <w:color w:val="auto"/>
          <w:kern w:val="2"/>
          <w:sz w:val="21"/>
          <w:szCs w:val="21"/>
          <w:highlight w:val="none"/>
          <w:u w:val="none"/>
          <w:lang w:val="en-US" w:eastAsia="zh-CN"/>
        </w:rPr>
        <w:t>是否涉及绿色产品：</w:t>
      </w:r>
      <w:r>
        <w:rPr>
          <w:rFonts w:hint="eastAsia" w:ascii="宋体" w:hAnsi="宋体" w:eastAsia="宋体" w:cs="Times New Roman"/>
          <w:iCs w:val="0"/>
          <w:color w:val="auto"/>
          <w:kern w:val="2"/>
          <w:sz w:val="21"/>
          <w:szCs w:val="21"/>
          <w:highlight w:val="none"/>
          <w:u w:val="none"/>
          <w:lang w:val="en-US" w:eastAsia="zh-CN"/>
        </w:rPr>
        <w:t xml:space="preserve"> </w:t>
      </w:r>
    </w:p>
    <w:p w14:paraId="16DE60C9">
      <w:pPr>
        <w:pStyle w:val="21"/>
        <w:spacing w:beforeLines="0"/>
        <w:ind w:firstLine="420" w:firstLineChars="0"/>
        <w:rPr>
          <w:rFonts w:hint="eastAsia" w:ascii="宋体" w:hAnsi="宋体" w:eastAsia="宋体"/>
          <w:color w:val="auto"/>
          <w:szCs w:val="21"/>
          <w:highlight w:val="none"/>
          <w:u w:val="single"/>
          <w:lang w:val="en-US" w:eastAsia="zh-CN"/>
        </w:rPr>
      </w:pPr>
      <w:r>
        <w:rPr>
          <w:rFonts w:hint="eastAsia" w:ascii="宋体" w:hAnsi="宋体" w:eastAsia="宋体" w:cs="Times New Roman"/>
          <w:iCs w:val="0"/>
          <w:color w:val="auto"/>
          <w:kern w:val="2"/>
          <w:sz w:val="21"/>
          <w:szCs w:val="21"/>
          <w:highlight w:val="none"/>
          <w:u w:val="none"/>
          <w:lang w:val="en-US" w:eastAsia="zh-CN"/>
        </w:rPr>
        <w:t xml:space="preserve">     </w:t>
      </w:r>
      <w:r>
        <w:rPr>
          <w:rFonts w:hint="eastAsia" w:ascii="宋体" w:hAnsi="宋体" w:eastAsia="宋体" w:cs="Times New Roman"/>
          <w:iCs w:val="0"/>
          <w:color w:val="auto"/>
          <w:kern w:val="2"/>
          <w:sz w:val="21"/>
          <w:szCs w:val="21"/>
          <w:highlight w:val="none"/>
          <w:u w:val="none"/>
        </w:rPr>
        <w:sym w:font="Wingdings" w:char="00A8"/>
      </w:r>
      <w:r>
        <w:rPr>
          <w:rFonts w:hint="eastAsia" w:ascii="宋体" w:hAnsi="宋体" w:eastAsia="宋体" w:cs="Times New Roman"/>
          <w:iCs w:val="0"/>
          <w:color w:val="auto"/>
          <w:kern w:val="2"/>
          <w:sz w:val="21"/>
          <w:szCs w:val="21"/>
          <w:highlight w:val="none"/>
          <w:u w:val="none"/>
        </w:rPr>
        <w:t>是</w:t>
      </w:r>
      <w:r>
        <w:rPr>
          <w:rFonts w:hint="eastAsia" w:ascii="宋体" w:hAnsi="宋体" w:eastAsia="宋体" w:cs="Times New Roman"/>
          <w:iCs w:val="0"/>
          <w:color w:val="auto"/>
          <w:kern w:val="2"/>
          <w:sz w:val="21"/>
          <w:szCs w:val="21"/>
          <w:highlight w:val="none"/>
          <w:u w:val="none"/>
          <w:lang w:eastAsia="zh-CN"/>
        </w:rPr>
        <w:t>，绿色产品政府采购相关政策确定的底级品目名称：</w:t>
      </w:r>
      <w:r>
        <w:rPr>
          <w:rFonts w:hint="eastAsia" w:ascii="宋体" w:hAnsi="宋体" w:eastAsia="宋体"/>
          <w:color w:val="auto"/>
          <w:szCs w:val="21"/>
          <w:highlight w:val="none"/>
          <w:u w:val="single"/>
          <w:lang w:val="en-US" w:eastAsia="zh-CN"/>
        </w:rPr>
        <w:t xml:space="preserve">         </w:t>
      </w:r>
    </w:p>
    <w:p w14:paraId="76B8AF80">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5772FFA5">
      <w:pPr>
        <w:pStyle w:val="21"/>
        <w:spacing w:beforeLines="0"/>
        <w:ind w:firstLine="420" w:firstLineChars="0"/>
        <w:rPr>
          <w:rFonts w:hint="eastAsia" w:ascii="宋体" w:hAnsi="宋体"/>
          <w:b w:val="0"/>
          <w:bCs w:val="0"/>
          <w:color w:val="auto"/>
          <w:sz w:val="21"/>
          <w:szCs w:val="21"/>
          <w:highlight w:val="none"/>
          <w:u w:val="none"/>
          <w:lang w:val="en-US" w:eastAsia="zh-CN"/>
        </w:rPr>
      </w:pPr>
      <w:r>
        <w:rPr>
          <w:rFonts w:hint="eastAsia" w:ascii="宋体" w:hAnsi="宋体" w:eastAsia="宋体" w:cs="Times New Roman"/>
          <w:iCs w:val="0"/>
          <w:color w:val="auto"/>
          <w:kern w:val="2"/>
          <w:sz w:val="21"/>
          <w:szCs w:val="21"/>
          <w:highlight w:val="none"/>
          <w:u w:val="none"/>
          <w:lang w:val="en-US" w:eastAsia="zh-CN"/>
        </w:rPr>
        <w:t xml:space="preserve">     </w:t>
      </w:r>
      <w:r>
        <w:rPr>
          <w:rFonts w:hint="eastAsia" w:ascii="宋体" w:hAnsi="宋体" w:eastAsia="宋体" w:cs="Times New Roman"/>
          <w:iCs w:val="0"/>
          <w:color w:val="auto"/>
          <w:kern w:val="2"/>
          <w:sz w:val="21"/>
          <w:szCs w:val="21"/>
          <w:highlight w:val="none"/>
          <w:u w:val="none"/>
        </w:rPr>
        <w:sym w:font="Wingdings" w:char="00A8"/>
      </w:r>
      <w:r>
        <w:rPr>
          <w:rFonts w:hint="eastAsia" w:ascii="宋体" w:hAnsi="宋体" w:eastAsia="宋体" w:cs="Times New Roman"/>
          <w:iCs w:val="0"/>
          <w:color w:val="auto"/>
          <w:kern w:val="2"/>
          <w:sz w:val="21"/>
          <w:szCs w:val="21"/>
          <w:highlight w:val="none"/>
          <w:u w:val="none"/>
        </w:rPr>
        <w:t>否</w:t>
      </w:r>
    </w:p>
    <w:p w14:paraId="72624C87">
      <w:pPr>
        <w:numPr>
          <w:ilvl w:val="-1"/>
          <w:numId w:val="0"/>
        </w:numPr>
        <w:adjustRightInd w:val="0"/>
        <w:snapToGrid w:val="0"/>
        <w:spacing w:before="0" w:beforeLines="0" w:line="400" w:lineRule="exact"/>
        <w:ind w:firstLine="0" w:firstLineChars="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    （1</w:t>
      </w:r>
      <w:r>
        <w:rPr>
          <w:rFonts w:hint="default" w:ascii="宋体" w:hAnsi="宋体"/>
          <w:color w:val="auto"/>
          <w:szCs w:val="21"/>
          <w:highlight w:val="none"/>
          <w:lang w:val="en" w:eastAsia="zh-CN"/>
        </w:rPr>
        <w:t>1</w:t>
      </w:r>
      <w:r>
        <w:rPr>
          <w:rFonts w:hint="eastAsia" w:ascii="宋体" w:hAnsi="宋体"/>
          <w:color w:val="auto"/>
          <w:szCs w:val="21"/>
          <w:highlight w:val="none"/>
          <w:lang w:val="en-US" w:eastAsia="zh-CN"/>
        </w:rPr>
        <w:t>）</w:t>
      </w:r>
      <w:r>
        <w:rPr>
          <w:rFonts w:hint="eastAsia" w:ascii="宋体" w:hAnsi="宋体" w:eastAsia="宋体"/>
          <w:color w:val="auto"/>
          <w:szCs w:val="21"/>
          <w:highlight w:val="none"/>
          <w:lang w:val="en-US" w:eastAsia="zh-CN"/>
        </w:rPr>
        <w:t>涉及商品包装和快递包装的，是否参考</w:t>
      </w:r>
      <w:r>
        <w:rPr>
          <w:rFonts w:hint="eastAsia" w:ascii="宋体" w:hAnsi="宋体"/>
          <w:color w:val="auto"/>
          <w:szCs w:val="21"/>
          <w:highlight w:val="none"/>
        </w:rPr>
        <w:t>《商品包装政府采购需求标准（试行）》、《快递包装政府采购需求标准（试行）》</w:t>
      </w:r>
      <w:r>
        <w:rPr>
          <w:rFonts w:hint="eastAsia" w:ascii="宋体" w:hAnsi="宋体" w:eastAsia="宋体"/>
          <w:color w:val="auto"/>
          <w:szCs w:val="21"/>
          <w:highlight w:val="none"/>
          <w:lang w:eastAsia="zh-CN"/>
        </w:rPr>
        <w:t>明确产品及相关快递服务的具体包装要求：</w:t>
      </w:r>
    </w:p>
    <w:p w14:paraId="6F4ED58A">
      <w:pPr>
        <w:numPr>
          <w:ilvl w:val="-1"/>
          <w:numId w:val="0"/>
        </w:numPr>
        <w:adjustRightInd w:val="0"/>
        <w:snapToGrid w:val="0"/>
        <w:spacing w:before="0" w:beforeLines="0" w:line="400" w:lineRule="exact"/>
        <w:ind w:firstLine="840" w:firstLineChars="400"/>
        <w:rPr>
          <w:rFonts w:hint="eastAsia" w:ascii="宋体" w:hAnsi="宋体" w:eastAsia="宋体"/>
          <w:iCs w:val="0"/>
          <w:color w:val="auto"/>
          <w:szCs w:val="21"/>
          <w:highlight w:val="none"/>
          <w:lang w:val="en-US" w:eastAsia="zh-CN"/>
        </w:rPr>
      </w:pP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 xml:space="preserve">是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r>
        <w:rPr>
          <w:rFonts w:hint="eastAsia" w:ascii="宋体" w:hAnsi="宋体" w:eastAsia="宋体"/>
          <w:iCs w:val="0"/>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lang w:eastAsia="zh-CN"/>
        </w:rPr>
        <w:t>不涉及</w:t>
      </w:r>
    </w:p>
    <w:p w14:paraId="4263E645">
      <w:pPr>
        <w:numPr>
          <w:ilvl w:val="0"/>
          <w:numId w:val="11"/>
        </w:numPr>
        <w:adjustRightInd w:val="0"/>
        <w:snapToGrid w:val="0"/>
        <w:spacing w:before="0" w:beforeLines="0" w:line="400" w:lineRule="exact"/>
        <w:ind w:firstLine="422" w:firstLineChars="200"/>
        <w:outlineLvl w:val="0"/>
        <w:rPr>
          <w:rFonts w:ascii="宋体" w:hAnsi="宋体"/>
          <w:b/>
          <w:color w:val="auto"/>
          <w:szCs w:val="21"/>
          <w:highlight w:val="none"/>
        </w:rPr>
      </w:pPr>
      <w:bookmarkStart w:id="66" w:name="_Toc11668"/>
      <w:r>
        <w:rPr>
          <w:rFonts w:hint="eastAsia" w:ascii="宋体" w:hAnsi="宋体"/>
          <w:b/>
          <w:color w:val="auto"/>
          <w:szCs w:val="21"/>
          <w:highlight w:val="none"/>
        </w:rPr>
        <w:t>合同金额</w:t>
      </w:r>
      <w:bookmarkEnd w:id="66"/>
    </w:p>
    <w:p w14:paraId="4B92582B">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639F00A8">
      <w:pPr>
        <w:adjustRightInd w:val="0"/>
        <w:snapToGrid w:val="0"/>
        <w:spacing w:before="0" w:beforeLines="0" w:line="400" w:lineRule="exact"/>
        <w:ind w:left="0" w:firstLine="0" w:firstLineChars="0"/>
        <w:rPr>
          <w:rFonts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389B150C">
      <w:pPr>
        <w:adjustRightInd w:val="0"/>
        <w:snapToGrid w:val="0"/>
        <w:spacing w:before="0" w:beforeLines="0" w:line="400" w:lineRule="exact"/>
        <w:ind w:firstLine="0" w:firstLineChars="0"/>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分包金额</w:t>
      </w:r>
      <w:r>
        <w:rPr>
          <w:rFonts w:hint="eastAsia" w:ascii="宋体" w:hAnsi="宋体"/>
          <w:color w:val="auto"/>
          <w:szCs w:val="21"/>
          <w:highlight w:val="none"/>
          <w:lang w:eastAsia="zh-CN"/>
        </w:rPr>
        <w:t>（如有）</w:t>
      </w:r>
      <w:r>
        <w:rPr>
          <w:rFonts w:hint="eastAsia" w:ascii="宋体" w:hAnsi="宋体"/>
          <w:color w:val="auto"/>
          <w:szCs w:val="21"/>
          <w:highlight w:val="none"/>
        </w:rPr>
        <w:t>小写：</w:t>
      </w:r>
      <w:r>
        <w:rPr>
          <w:rFonts w:hint="eastAsia" w:ascii="宋体" w:hAnsi="宋体"/>
          <w:color w:val="auto"/>
          <w:szCs w:val="21"/>
          <w:highlight w:val="none"/>
          <w:u w:val="single"/>
        </w:rPr>
        <w:t xml:space="preserve">                   </w:t>
      </w:r>
    </w:p>
    <w:p w14:paraId="50DAFAE3">
      <w:pPr>
        <w:adjustRightInd w:val="0"/>
        <w:snapToGrid w:val="0"/>
        <w:spacing w:before="0" w:beforeLines="0" w:line="400" w:lineRule="exact"/>
        <w:ind w:firstLine="0" w:firstLineChars="0"/>
        <w:rPr>
          <w:rFonts w:hint="eastAsia"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13ABD464">
      <w:pPr>
        <w:adjustRightInd w:val="0"/>
        <w:snapToGrid w:val="0"/>
        <w:spacing w:before="0" w:beforeLines="0" w:line="400" w:lineRule="exact"/>
        <w:ind w:firstLine="0" w:firstLineChars="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（注：固定单价合同应填写单价和最高限价）</w:t>
      </w:r>
    </w:p>
    <w:p w14:paraId="1F245978">
      <w:pPr>
        <w:numPr>
          <w:ilvl w:val="-1"/>
          <w:numId w:val="0"/>
        </w:numPr>
        <w:adjustRightInd w:val="0"/>
        <w:snapToGrid w:val="0"/>
        <w:spacing w:before="0" w:beforeLines="0" w:line="400" w:lineRule="exact"/>
        <w:ind w:firstLine="0" w:firstLineChars="0"/>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合同定价方式</w:t>
      </w:r>
      <w:r>
        <w:rPr>
          <w:rFonts w:hint="eastAsia" w:ascii="宋体" w:hAnsi="宋体"/>
          <w:color w:val="auto"/>
          <w:szCs w:val="21"/>
          <w:highlight w:val="none"/>
          <w:lang w:eastAsia="zh-CN"/>
        </w:rPr>
        <w:t>（采用组合定价方式的，可以勾选多项）</w:t>
      </w:r>
      <w:r>
        <w:rPr>
          <w:rFonts w:hint="eastAsia" w:ascii="宋体" w:hAnsi="宋体"/>
          <w:color w:val="auto"/>
          <w:szCs w:val="21"/>
          <w:highlight w:val="none"/>
        </w:rPr>
        <w:t>：</w:t>
      </w:r>
    </w:p>
    <w:p w14:paraId="3F9BF955">
      <w:pPr>
        <w:adjustRightInd w:val="0"/>
        <w:snapToGrid w:val="0"/>
        <w:spacing w:before="0" w:beforeLines="0" w:line="400" w:lineRule="exact"/>
        <w:ind w:firstLine="420" w:firstLineChars="200"/>
        <w:rPr>
          <w:rFonts w:hint="eastAsia" w:ascii="宋体" w:hAnsi="宋体" w:eastAsia="宋体"/>
          <w:color w:val="auto"/>
          <w:szCs w:val="21"/>
          <w:highlight w:val="none"/>
          <w:lang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固定单价</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固定费率</w:t>
      </w: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绩效激励</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其他</w:t>
      </w:r>
      <w:r>
        <w:rPr>
          <w:rFonts w:hint="eastAsia" w:ascii="宋体" w:hAnsi="宋体"/>
          <w:color w:val="auto"/>
          <w:szCs w:val="21"/>
          <w:highlight w:val="none"/>
          <w:u w:val="single"/>
        </w:rPr>
        <w:t xml:space="preserve">       </w:t>
      </w:r>
    </w:p>
    <w:p w14:paraId="66639D0E">
      <w:pPr>
        <w:pStyle w:val="22"/>
        <w:spacing w:beforeLines="0" w:line="400" w:lineRule="exact"/>
        <w:rPr>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3</w:t>
      </w:r>
      <w:r>
        <w:rPr>
          <w:rFonts w:hint="eastAsia" w:ascii="宋体" w:hAnsi="宋体"/>
          <w:color w:val="auto"/>
          <w:highlight w:val="none"/>
        </w:rPr>
        <w:t>）付款方式（按项目实际勾选填写）：</w:t>
      </w:r>
    </w:p>
    <w:p w14:paraId="7F30398A">
      <w:pPr>
        <w:adjustRightInd w:val="0"/>
        <w:snapToGrid w:val="0"/>
        <w:spacing w:before="0" w:beforeLines="0"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 xml:space="preserve">     （应</w:t>
      </w:r>
      <w:r>
        <w:rPr>
          <w:rFonts w:hint="eastAsia" w:ascii="宋体" w:hAnsi="宋体"/>
          <w:color w:val="auto"/>
          <w:szCs w:val="21"/>
          <w:highlight w:val="none"/>
          <w:u w:val="single"/>
          <w:lang w:eastAsia="zh-CN"/>
        </w:rPr>
        <w:t>明确</w:t>
      </w:r>
      <w:r>
        <w:rPr>
          <w:rFonts w:hint="eastAsia" w:ascii="宋体" w:hAnsi="宋体"/>
          <w:color w:val="auto"/>
          <w:szCs w:val="21"/>
          <w:highlight w:val="none"/>
          <w:u w:val="single"/>
        </w:rPr>
        <w:t>一次性支付合同款项</w:t>
      </w:r>
      <w:r>
        <w:rPr>
          <w:rFonts w:hint="eastAsia" w:ascii="宋体" w:hAnsi="宋体"/>
          <w:color w:val="auto"/>
          <w:szCs w:val="21"/>
          <w:highlight w:val="none"/>
          <w:u w:val="single"/>
          <w:lang w:eastAsia="zh-CN"/>
        </w:rPr>
        <w:t>的条件</w:t>
      </w:r>
      <w:r>
        <w:rPr>
          <w:rFonts w:hint="eastAsia" w:ascii="宋体" w:hAnsi="宋体"/>
          <w:color w:val="auto"/>
          <w:szCs w:val="21"/>
          <w:highlight w:val="none"/>
          <w:u w:val="single"/>
        </w:rPr>
        <w:t xml:space="preserve">）                    </w:t>
      </w:r>
    </w:p>
    <w:p w14:paraId="5E2AEB5A">
      <w:pPr>
        <w:snapToGrid w:val="0"/>
        <w:spacing w:beforeLines="0" w:line="400" w:lineRule="exact"/>
        <w:ind w:firstLine="630" w:firstLineChars="300"/>
        <w:rPr>
          <w:color w:val="auto"/>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分期付款：</w:t>
      </w:r>
      <w:r>
        <w:rPr>
          <w:rFonts w:hint="eastAsia" w:ascii="宋体" w:hAnsi="宋体"/>
          <w:color w:val="auto"/>
          <w:szCs w:val="21"/>
          <w:highlight w:val="none"/>
          <w:u w:val="single"/>
        </w:rPr>
        <w:t xml:space="preserve">  （应明确分期支付合同款项的各期比例和支付条件</w:t>
      </w:r>
      <w:r>
        <w:rPr>
          <w:rFonts w:hint="eastAsia" w:ascii="宋体" w:hAnsi="宋体"/>
          <w:color w:val="auto"/>
          <w:szCs w:val="21"/>
          <w:highlight w:val="none"/>
          <w:u w:val="single"/>
          <w:lang w:eastAsia="zh-CN"/>
        </w:rPr>
        <w:t>，各期支付条件应与分期履约验收情况挂钩</w:t>
      </w:r>
      <w:r>
        <w:rPr>
          <w:rFonts w:hint="eastAsia" w:ascii="宋体" w:hAnsi="宋体"/>
          <w:color w:val="auto"/>
          <w:szCs w:val="21"/>
          <w:highlight w:val="none"/>
          <w:u w:val="single"/>
        </w:rPr>
        <w:t xml:space="preserve">） </w:t>
      </w:r>
      <w:r>
        <w:rPr>
          <w:rFonts w:hint="eastAsia" w:ascii="宋体" w:hAnsi="宋体"/>
          <w:color w:val="auto"/>
          <w:szCs w:val="21"/>
          <w:highlight w:val="none"/>
          <w:u w:val="none"/>
          <w:lang w:eastAsia="zh-CN"/>
        </w:rPr>
        <w:t>，</w:t>
      </w:r>
      <w:r>
        <w:rPr>
          <w:rFonts w:hint="eastAsia" w:ascii="宋体" w:hAnsi="宋体"/>
          <w:color w:val="auto"/>
          <w:szCs w:val="21"/>
          <w:highlight w:val="none"/>
          <w:lang w:eastAsia="zh-CN"/>
        </w:rPr>
        <w:t>其中涉及预付款的</w:t>
      </w:r>
      <w:r>
        <w:rPr>
          <w:rFonts w:hint="eastAsia" w:ascii="宋体" w:hAnsi="宋体"/>
          <w:color w:val="auto"/>
          <w:szCs w:val="21"/>
          <w:highlight w:val="none"/>
        </w:rPr>
        <w:t>：</w:t>
      </w:r>
      <w:r>
        <w:rPr>
          <w:rFonts w:hint="eastAsia" w:ascii="宋体" w:hAnsi="宋体"/>
          <w:color w:val="auto"/>
          <w:szCs w:val="21"/>
          <w:highlight w:val="none"/>
          <w:u w:val="single"/>
        </w:rPr>
        <w:t xml:space="preserve"> （应明确预付款的支付比例和支付条件） </w:t>
      </w:r>
    </w:p>
    <w:p w14:paraId="4A830739">
      <w:pPr>
        <w:adjustRightInd w:val="0"/>
        <w:snapToGrid w:val="0"/>
        <w:spacing w:before="0" w:beforeLines="0"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14:paraId="696CBC8F">
      <w:pPr>
        <w:adjustRightInd w:val="0"/>
        <w:snapToGrid w:val="0"/>
        <w:spacing w:before="0" w:beforeLines="0" w:line="400" w:lineRule="exact"/>
        <w:ind w:firstLine="630"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14:paraId="6AE1D801">
      <w:pPr>
        <w:numPr>
          <w:ilvl w:val="0"/>
          <w:numId w:val="11"/>
        </w:numPr>
        <w:adjustRightInd w:val="0"/>
        <w:snapToGrid w:val="0"/>
        <w:spacing w:before="0" w:beforeLines="0" w:line="400" w:lineRule="exact"/>
        <w:ind w:firstLine="422" w:firstLineChars="200"/>
        <w:outlineLvl w:val="0"/>
        <w:rPr>
          <w:rFonts w:ascii="宋体" w:hAnsi="宋体"/>
          <w:b/>
          <w:bCs w:val="0"/>
          <w:color w:val="auto"/>
          <w:szCs w:val="21"/>
          <w:highlight w:val="none"/>
          <w:u w:val="single"/>
        </w:rPr>
      </w:pPr>
      <w:bookmarkStart w:id="67" w:name="_Toc20299"/>
      <w:r>
        <w:rPr>
          <w:rFonts w:hint="eastAsia" w:ascii="宋体" w:hAnsi="宋体"/>
          <w:b/>
          <w:bCs w:val="0"/>
          <w:color w:val="auto"/>
          <w:szCs w:val="21"/>
          <w:highlight w:val="none"/>
        </w:rPr>
        <w:t>合同履行</w:t>
      </w:r>
      <w:bookmarkEnd w:id="67"/>
    </w:p>
    <w:p w14:paraId="3F074E77">
      <w:pPr>
        <w:adjustRightInd w:val="0"/>
        <w:snapToGrid w:val="0"/>
        <w:spacing w:before="0" w:beforeLines="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4596915">
      <w:pPr>
        <w:adjustRightInd w:val="0"/>
        <w:snapToGrid w:val="0"/>
        <w:spacing w:before="0" w:beforeLines="0"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履约</w:t>
      </w:r>
      <w:r>
        <w:rPr>
          <w:rFonts w:hint="eastAsia" w:ascii="宋体" w:hAnsi="宋体" w:cs="宋体"/>
          <w:color w:val="auto"/>
          <w:szCs w:val="21"/>
          <w:highlight w:val="none"/>
        </w:rPr>
        <w:t>地点</w:t>
      </w:r>
      <w:r>
        <w:rPr>
          <w:rFonts w:hint="eastAsia" w:ascii="宋体" w:hAnsi="宋体" w:cs="宋体"/>
          <w:b w:val="0"/>
          <w:bCs/>
          <w:color w:val="auto"/>
          <w:szCs w:val="21"/>
          <w:highlight w:val="none"/>
        </w:rPr>
        <w:t>：</w:t>
      </w:r>
      <w:r>
        <w:rPr>
          <w:rFonts w:hint="eastAsia" w:ascii="宋体" w:hAnsi="宋体" w:cs="宋体"/>
          <w:color w:val="auto"/>
          <w:szCs w:val="21"/>
          <w:highlight w:val="none"/>
          <w:u w:val="single"/>
        </w:rPr>
        <w:t xml:space="preserve">                             </w:t>
      </w:r>
    </w:p>
    <w:p w14:paraId="7118CBF3">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cs="宋体"/>
          <w:bCs/>
          <w:color w:val="auto"/>
          <w:szCs w:val="21"/>
          <w:highlight w:val="none"/>
        </w:rPr>
        <w:t>（3）履约担保：</w:t>
      </w:r>
      <w:r>
        <w:rPr>
          <w:rFonts w:hint="eastAsia" w:ascii="宋体" w:hAnsi="宋体" w:eastAsia="宋体" w:cs="宋体"/>
          <w:color w:val="auto"/>
          <w:sz w:val="21"/>
          <w:highlight w:val="none"/>
          <w:lang w:val="en-US" w:eastAsia="zh-CN"/>
        </w:rPr>
        <w:t>是否收取履约保证金：</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否</w:t>
      </w:r>
    </w:p>
    <w:p w14:paraId="5ED07199">
      <w:pPr>
        <w:pStyle w:val="21"/>
        <w:spacing w:beforeLines="0"/>
        <w:rPr>
          <w:rFonts w:hint="eastAsia" w:ascii="宋体" w:hAnsi="宋体" w:eastAsia="宋体" w:cs="宋体"/>
          <w:color w:val="auto"/>
          <w:sz w:val="21"/>
          <w:highlight w:val="none"/>
          <w:lang w:val="en-US" w:eastAsia="zh-CN"/>
        </w:rPr>
      </w:pPr>
      <w:r>
        <w:rPr>
          <w:rFonts w:hint="eastAsia" w:ascii="宋体" w:hAnsi="宋体" w:cs="宋体"/>
          <w:bCs/>
          <w:color w:val="auto"/>
          <w:szCs w:val="21"/>
          <w:highlight w:val="none"/>
          <w:u w:val="none"/>
          <w:lang w:val="en-US" w:eastAsia="zh-CN"/>
        </w:rPr>
        <w:t xml:space="preserve">  </w:t>
      </w:r>
      <w:r>
        <w:rPr>
          <w:rFonts w:hint="eastAsia" w:ascii="宋体" w:hAnsi="宋体" w:eastAsia="宋体" w:cs="宋体"/>
          <w:color w:val="auto"/>
          <w:sz w:val="21"/>
          <w:highlight w:val="none"/>
          <w:lang w:val="en-US" w:eastAsia="zh-CN"/>
        </w:rPr>
        <w:t xml:space="preserve">  收取履约保证金形式：</w:t>
      </w:r>
      <w:r>
        <w:rPr>
          <w:rFonts w:hint="eastAsia" w:ascii="宋体" w:hAnsi="宋体" w:eastAsia="宋体" w:cs="宋体"/>
          <w:bCs/>
          <w:color w:val="auto"/>
          <w:sz w:val="21"/>
          <w:szCs w:val="21"/>
          <w:highlight w:val="none"/>
          <w:u w:val="single"/>
        </w:rPr>
        <w:t xml:space="preserve">                            </w:t>
      </w:r>
    </w:p>
    <w:p w14:paraId="2862326D">
      <w:pPr>
        <w:pStyle w:val="21"/>
        <w:spacing w:beforeLines="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    收取履约保证金金额：</w:t>
      </w:r>
      <w:r>
        <w:rPr>
          <w:rFonts w:hint="eastAsia" w:ascii="宋体" w:hAnsi="宋体" w:eastAsia="宋体" w:cs="宋体"/>
          <w:bCs/>
          <w:color w:val="auto"/>
          <w:sz w:val="21"/>
          <w:szCs w:val="21"/>
          <w:highlight w:val="none"/>
          <w:u w:val="single"/>
        </w:rPr>
        <w:t xml:space="preserve">                            </w:t>
      </w:r>
    </w:p>
    <w:p w14:paraId="515F635B">
      <w:pPr>
        <w:snapToGrid w:val="0"/>
        <w:spacing w:beforeLines="0" w:line="400" w:lineRule="exact"/>
        <w:ind w:firstLine="420" w:firstLineChars="200"/>
        <w:rPr>
          <w:rFonts w:hint="eastAsia" w:ascii="宋体" w:hAnsi="宋体" w:eastAsia="宋体" w:cs="宋体"/>
          <w:color w:val="auto"/>
          <w:sz w:val="21"/>
          <w:highlight w:val="none"/>
          <w:lang w:val="en-US" w:eastAsia="zh-CN"/>
        </w:rPr>
      </w:pPr>
      <w:r>
        <w:rPr>
          <w:rFonts w:hint="eastAsia" w:ascii="宋体" w:hAnsi="宋体" w:cs="宋体"/>
          <w:bCs/>
          <w:color w:val="auto"/>
          <w:szCs w:val="21"/>
          <w:highlight w:val="none"/>
          <w:u w:val="none"/>
          <w:lang w:val="en-US" w:eastAsia="zh-CN"/>
        </w:rPr>
        <w:t xml:space="preserve">    履约担保期限</w:t>
      </w:r>
      <w:r>
        <w:rPr>
          <w:rFonts w:hint="eastAsia" w:ascii="宋体" w:hAnsi="宋体" w:cs="宋体"/>
          <w:bCs/>
          <w:color w:val="auto"/>
          <w:szCs w:val="21"/>
          <w:highlight w:val="none"/>
          <w:u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593532F6">
      <w:pPr>
        <w:adjustRightInd w:val="0"/>
        <w:snapToGrid w:val="0"/>
        <w:spacing w:before="0" w:beforeLines="0"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p>
    <w:p w14:paraId="78B319A9">
      <w:pPr>
        <w:adjustRightInd w:val="0"/>
        <w:snapToGrid w:val="0"/>
        <w:spacing w:before="0" w:beforeLines="0" w:line="400" w:lineRule="exact"/>
        <w:ind w:firstLine="420" w:firstLineChars="200"/>
        <w:rPr>
          <w:rFonts w:hint="eastAsia" w:ascii="宋体" w:hAnsi="宋体" w:cs="宋体"/>
          <w:color w:val="auto"/>
          <w:szCs w:val="21"/>
          <w:highlight w:val="none"/>
          <w:u w:val="single"/>
        </w:rPr>
      </w:pPr>
      <w:r>
        <w:rPr>
          <w:rFonts w:hint="eastAsia" w:ascii="宋体" w:hAnsi="宋体" w:cs="宋体"/>
          <w:bCs/>
          <w:color w:val="auto"/>
          <w:szCs w:val="21"/>
          <w:highlight w:val="none"/>
        </w:rPr>
        <w:t>（5）</w:t>
      </w:r>
      <w:r>
        <w:rPr>
          <w:rFonts w:hint="eastAsia" w:ascii="宋体" w:hAnsi="宋体" w:cs="宋体"/>
          <w:bCs/>
          <w:color w:val="auto"/>
          <w:szCs w:val="21"/>
          <w:highlight w:val="none"/>
          <w:lang w:eastAsia="zh-CN"/>
        </w:rPr>
        <w:t>风险处置措施和替代方案</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3F85D974">
      <w:pPr>
        <w:numPr>
          <w:ilvl w:val="0"/>
          <w:numId w:val="11"/>
        </w:numPr>
        <w:adjustRightInd w:val="0"/>
        <w:snapToGrid w:val="0"/>
        <w:spacing w:before="0" w:beforeLines="0" w:line="400" w:lineRule="exact"/>
        <w:ind w:firstLine="422" w:firstLineChars="200"/>
        <w:outlineLvl w:val="0"/>
        <w:rPr>
          <w:rFonts w:ascii="宋体" w:hAnsi="宋体"/>
          <w:b/>
          <w:color w:val="auto"/>
          <w:szCs w:val="21"/>
          <w:highlight w:val="none"/>
        </w:rPr>
      </w:pPr>
      <w:bookmarkStart w:id="68" w:name="_Toc23252"/>
      <w:r>
        <w:rPr>
          <w:rFonts w:hint="eastAsia" w:ascii="宋体" w:hAnsi="宋体"/>
          <w:b/>
          <w:color w:val="auto"/>
          <w:szCs w:val="21"/>
          <w:highlight w:val="none"/>
        </w:rPr>
        <w:t>合同验收</w:t>
      </w:r>
      <w:bookmarkEnd w:id="68"/>
    </w:p>
    <w:p w14:paraId="63668815">
      <w:pPr>
        <w:numPr>
          <w:ilvl w:val="0"/>
          <w:numId w:val="13"/>
        </w:numPr>
        <w:adjustRightInd w:val="0"/>
        <w:snapToGrid w:val="0"/>
        <w:spacing w:before="0" w:beforeLines="0"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委托第三方组织</w:t>
      </w:r>
    </w:p>
    <w:p w14:paraId="1B6794D3">
      <w:pPr>
        <w:numPr>
          <w:ilvl w:val="0"/>
          <w:numId w:val="0"/>
        </w:numPr>
        <w:adjustRightInd w:val="0"/>
        <w:snapToGrid w:val="0"/>
        <w:spacing w:before="0" w:beforeLines="0" w:line="400" w:lineRule="exact"/>
        <w:rPr>
          <w:rFonts w:ascii="宋体" w:hAnsi="宋体"/>
          <w:bCs/>
          <w:color w:val="auto"/>
          <w:szCs w:val="21"/>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验收主体：</w:t>
      </w:r>
      <w:r>
        <w:rPr>
          <w:rFonts w:hint="eastAsia" w:ascii="宋体" w:hAnsi="宋体"/>
          <w:bCs/>
          <w:color w:val="auto"/>
          <w:szCs w:val="21"/>
          <w:highlight w:val="none"/>
          <w:u w:val="single"/>
        </w:rPr>
        <w:t xml:space="preserve">                  </w:t>
      </w:r>
    </w:p>
    <w:p w14:paraId="41502253">
      <w:pPr>
        <w:adjustRightInd w:val="0"/>
        <w:snapToGrid w:val="0"/>
        <w:spacing w:before="0" w:beforeLines="0" w:line="400" w:lineRule="exact"/>
        <w:ind w:firstLine="0" w:firstLineChars="0"/>
        <w:rPr>
          <w:rFonts w:ascii="宋体" w:hAnsi="宋体"/>
          <w:bCs/>
          <w:color w:val="auto"/>
          <w:szCs w:val="21"/>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是否邀请本项目的其他供应商</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1D5FA1D4">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是否邀请专家</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0AF96B5C">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是否邀请服务对象</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7356BF23">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是否邀请第三方检测机构</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397C9ECC">
      <w:pPr>
        <w:adjustRightInd w:val="0"/>
        <w:snapToGrid w:val="0"/>
        <w:spacing w:before="0" w:beforeLines="0" w:line="400" w:lineRule="exact"/>
        <w:ind w:firstLine="840" w:firstLineChars="400"/>
        <w:rPr>
          <w:rFonts w:hint="eastAsia" w:ascii="宋体" w:hAnsi="宋体"/>
          <w:bCs/>
          <w:color w:val="auto"/>
          <w:szCs w:val="21"/>
          <w:highlight w:val="none"/>
        </w:rPr>
      </w:pPr>
      <w:r>
        <w:rPr>
          <w:rFonts w:hint="eastAsia" w:ascii="宋体" w:hAnsi="宋体"/>
          <w:bCs/>
          <w:color w:val="auto"/>
          <w:szCs w:val="21"/>
          <w:highlight w:val="none"/>
          <w:lang w:eastAsia="zh-CN"/>
        </w:rPr>
        <w:t>是否进行抽查检测：</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lang w:eastAsia="zh-CN"/>
        </w:rPr>
        <w:t>，抽查比例：</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24622E75">
      <w:pPr>
        <w:adjustRightInd w:val="0"/>
        <w:snapToGrid w:val="0"/>
        <w:spacing w:before="0" w:beforeLines="0" w:line="400" w:lineRule="exact"/>
        <w:ind w:firstLine="840" w:firstLineChars="400"/>
        <w:rPr>
          <w:rFonts w:hint="eastAsia" w:ascii="宋体" w:hAnsi="宋体" w:eastAsia="宋体"/>
          <w:bCs/>
          <w:color w:val="auto"/>
          <w:szCs w:val="21"/>
          <w:highlight w:val="none"/>
          <w:u w:val="single"/>
          <w:lang w:eastAsia="zh-CN"/>
        </w:rPr>
      </w:pPr>
      <w:r>
        <w:rPr>
          <w:rFonts w:hint="eastAsia" w:ascii="宋体" w:hAnsi="宋体" w:eastAsia="宋体"/>
          <w:bCs/>
          <w:color w:val="auto"/>
          <w:szCs w:val="21"/>
          <w:highlight w:val="none"/>
          <w:lang w:val="en-US" w:eastAsia="zh-CN"/>
        </w:rPr>
        <w:t>是否存在破坏性检测：</w:t>
      </w:r>
      <w:r>
        <w:rPr>
          <w:rFonts w:hint="eastAsia" w:ascii="宋体" w:hAnsi="宋体" w:eastAsia="宋体" w:cs="宋体"/>
          <w:color w:val="auto"/>
          <w:sz w:val="21"/>
          <w:szCs w:val="21"/>
          <w:highlight w:val="none"/>
        </w:rPr>
        <w:sym w:font="Wingdings" w:char="00A8"/>
      </w:r>
      <w:r>
        <w:rPr>
          <w:rFonts w:hint="eastAsia" w:ascii="宋体" w:hAnsi="宋体" w:eastAsia="宋体"/>
          <w:bCs/>
          <w:color w:val="auto"/>
          <w:szCs w:val="21"/>
          <w:highlight w:val="none"/>
        </w:rPr>
        <w:t>是</w:t>
      </w:r>
      <w:r>
        <w:rPr>
          <w:rFonts w:hint="eastAsia" w:ascii="宋体" w:hAnsi="宋体" w:eastAsia="宋体"/>
          <w:bCs/>
          <w:color w:val="auto"/>
          <w:szCs w:val="21"/>
          <w:highlight w:val="none"/>
          <w:lang w:eastAsia="zh-CN"/>
        </w:rPr>
        <w:t>，</w:t>
      </w:r>
      <w:r>
        <w:rPr>
          <w:rFonts w:hint="eastAsia" w:ascii="宋体" w:hAnsi="宋体" w:eastAsia="宋体"/>
          <w:bCs/>
          <w:color w:val="auto"/>
          <w:szCs w:val="21"/>
          <w:highlight w:val="none"/>
          <w:u w:val="single"/>
          <w:lang w:eastAsia="zh-CN"/>
        </w:rPr>
        <w:t>（应明确对被破坏的检测产品的处理方式）</w:t>
      </w:r>
    </w:p>
    <w:p w14:paraId="687A4947">
      <w:pPr>
        <w:adjustRightInd w:val="0"/>
        <w:snapToGrid w:val="0"/>
        <w:spacing w:before="0" w:beforeLines="0" w:line="400" w:lineRule="exact"/>
        <w:ind w:firstLine="840" w:firstLineChars="400"/>
        <w:rPr>
          <w:rFonts w:hint="eastAsia" w:ascii="宋体" w:hAnsi="宋体" w:eastAsia="宋体"/>
          <w:bCs/>
          <w:color w:val="auto"/>
          <w:szCs w:val="21"/>
          <w:highlight w:val="none"/>
          <w:lang w:eastAsia="zh-CN"/>
        </w:rPr>
      </w:pPr>
      <w:r>
        <w:rPr>
          <w:rFonts w:hint="eastAsia" w:ascii="宋体" w:hAnsi="宋体" w:eastAsia="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bCs/>
          <w:color w:val="auto"/>
          <w:szCs w:val="21"/>
          <w:highlight w:val="none"/>
        </w:rPr>
        <w:t>否</w:t>
      </w:r>
    </w:p>
    <w:p w14:paraId="681C4B21">
      <w:pPr>
        <w:adjustRightInd w:val="0"/>
        <w:snapToGrid w:val="0"/>
        <w:spacing w:before="0" w:beforeLines="0" w:line="400" w:lineRule="exact"/>
        <w:ind w:firstLine="840" w:firstLineChars="400"/>
        <w:rPr>
          <w:rFonts w:hint="eastAsia"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 xml:space="preserve">                </w:t>
      </w:r>
    </w:p>
    <w:p w14:paraId="7494BB24">
      <w:pPr>
        <w:adjustRightInd w:val="0"/>
        <w:snapToGrid w:val="0"/>
        <w:spacing w:before="0" w:beforeLines="0"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（计划于何时验收/供应商提出验收申请之日起   日内组织验收）</w:t>
      </w:r>
      <w:r>
        <w:rPr>
          <w:rFonts w:hint="eastAsia" w:ascii="宋体" w:hAnsi="宋体"/>
          <w:bCs/>
          <w:color w:val="auto"/>
          <w:szCs w:val="21"/>
          <w:highlight w:val="none"/>
          <w:u w:val="single"/>
          <w:lang w:val="en-US" w:eastAsia="zh-CN"/>
        </w:rPr>
        <w:t xml:space="preserve"> </w:t>
      </w:r>
    </w:p>
    <w:p w14:paraId="7F18978A">
      <w:pPr>
        <w:adjustRightInd w:val="0"/>
        <w:snapToGrid w:val="0"/>
        <w:spacing w:before="0" w:beforeLines="0"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一次性验收         </w:t>
      </w:r>
    </w:p>
    <w:p w14:paraId="4384686C">
      <w:pPr>
        <w:adjustRightInd w:val="0"/>
        <w:snapToGrid w:val="0"/>
        <w:spacing w:before="0" w:beforeLines="0" w:line="400" w:lineRule="exact"/>
        <w:ind w:firstLine="0" w:firstLineChars="0"/>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lang w:eastAsia="zh-CN"/>
        </w:rPr>
        <w:t>：</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（应明确分期</w:t>
      </w:r>
      <w:r>
        <w:rPr>
          <w:rFonts w:hint="default" w:ascii="宋体" w:hAnsi="宋体"/>
          <w:bCs/>
          <w:color w:val="auto"/>
          <w:szCs w:val="21"/>
          <w:highlight w:val="none"/>
          <w:u w:val="single"/>
          <w:lang w:val="en" w:eastAsia="zh-CN"/>
        </w:rPr>
        <w:t>/</w:t>
      </w:r>
      <w:r>
        <w:rPr>
          <w:rFonts w:hint="eastAsia" w:ascii="宋体" w:hAnsi="宋体"/>
          <w:bCs/>
          <w:color w:val="auto"/>
          <w:szCs w:val="21"/>
          <w:highlight w:val="none"/>
          <w:u w:val="single"/>
          <w:lang w:val="en" w:eastAsia="zh-CN"/>
        </w:rPr>
        <w:t>分项验收的工作安排</w:t>
      </w: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p>
    <w:p w14:paraId="092516C9">
      <w:pPr>
        <w:adjustRightInd w:val="0"/>
        <w:snapToGrid w:val="0"/>
        <w:spacing w:before="0" w:beforeLines="0"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 xml:space="preserve">                                         </w:t>
      </w:r>
    </w:p>
    <w:p w14:paraId="78B9DA48">
      <w:pPr>
        <w:adjustRightInd w:val="0"/>
        <w:snapToGrid w:val="0"/>
        <w:spacing w:before="0" w:beforeLines="0"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bCs/>
          <w:color w:val="auto"/>
          <w:szCs w:val="21"/>
          <w:highlight w:val="none"/>
          <w:u w:val="single"/>
        </w:rPr>
        <w:t xml:space="preserve">                                      </w:t>
      </w:r>
    </w:p>
    <w:p w14:paraId="33B3C574">
      <w:pPr>
        <w:adjustRightInd w:val="0"/>
        <w:snapToGrid w:val="0"/>
        <w:spacing w:before="0" w:beforeLines="0"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 xml:space="preserve">                                         </w:t>
      </w:r>
    </w:p>
    <w:p w14:paraId="03FFDBE1">
      <w:pPr>
        <w:pStyle w:val="21"/>
        <w:spacing w:beforeLines="0"/>
        <w:rPr>
          <w:rFonts w:hint="eastAsia" w:ascii="宋体" w:hAnsi="宋体" w:eastAsia="宋体" w:cs="宋体"/>
          <w:color w:val="auto"/>
          <w:sz w:val="21"/>
          <w:highlight w:val="none"/>
          <w:lang w:eastAsia="zh-CN"/>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lang w:val="en-US" w:eastAsia="zh-CN"/>
        </w:rPr>
        <w:t>7</w:t>
      </w:r>
      <w:r>
        <w:rPr>
          <w:rFonts w:hint="eastAsia" w:ascii="宋体" w:hAnsi="宋体" w:eastAsia="宋体" w:cs="宋体"/>
          <w:bCs/>
          <w:color w:val="auto"/>
          <w:sz w:val="21"/>
          <w:szCs w:val="21"/>
          <w:highlight w:val="none"/>
          <w:u w:val="none"/>
          <w:lang w:eastAsia="zh-CN"/>
        </w:rPr>
        <w:t>）是否以采购活动中供应商提供的样品作为参考：</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418CF203">
      <w:pPr>
        <w:adjustRightInd w:val="0"/>
        <w:snapToGrid w:val="0"/>
        <w:spacing w:before="0" w:beforeLines="0" w:line="40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w:t>
      </w:r>
      <w:r>
        <w:rPr>
          <w:rFonts w:hint="eastAsia" w:ascii="宋体" w:hAnsi="宋体" w:cs="宋体"/>
          <w:bCs/>
          <w:i w:val="0"/>
          <w:iCs w:val="0"/>
          <w:color w:val="auto"/>
          <w:szCs w:val="21"/>
          <w:highlight w:val="none"/>
          <w:u w:val="single"/>
        </w:rPr>
        <w:t>（产权过户登记等）</w:t>
      </w:r>
      <w:r>
        <w:rPr>
          <w:rFonts w:hint="eastAsia" w:ascii="宋体" w:hAnsi="宋体" w:cs="宋体"/>
          <w:bCs/>
          <w:color w:val="auto"/>
          <w:szCs w:val="21"/>
          <w:highlight w:val="none"/>
          <w:u w:val="single"/>
        </w:rPr>
        <w:t xml:space="preserve">          </w:t>
      </w:r>
    </w:p>
    <w:p w14:paraId="469E053F">
      <w:pPr>
        <w:numPr>
          <w:ilvl w:val="0"/>
          <w:numId w:val="11"/>
        </w:numPr>
        <w:adjustRightInd w:val="0"/>
        <w:snapToGrid w:val="0"/>
        <w:spacing w:before="0" w:beforeLines="0" w:line="400" w:lineRule="exact"/>
        <w:ind w:firstLine="422" w:firstLineChars="200"/>
        <w:outlineLvl w:val="0"/>
        <w:rPr>
          <w:rFonts w:hint="eastAsia" w:ascii="宋体" w:hAnsi="宋体"/>
          <w:b/>
          <w:color w:val="auto"/>
          <w:szCs w:val="21"/>
          <w:highlight w:val="none"/>
        </w:rPr>
      </w:pPr>
      <w:bookmarkStart w:id="69" w:name="_Toc2396"/>
      <w:r>
        <w:rPr>
          <w:rFonts w:hint="eastAsia" w:ascii="宋体" w:hAnsi="宋体"/>
          <w:b/>
          <w:color w:val="auto"/>
          <w:szCs w:val="21"/>
          <w:highlight w:val="none"/>
        </w:rPr>
        <w:t>组成合同的文件</w:t>
      </w:r>
      <w:bookmarkEnd w:id="69"/>
    </w:p>
    <w:p w14:paraId="72CC1EE7">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5CAC1DBD">
      <w:pPr>
        <w:adjustRightInd w:val="0"/>
        <w:snapToGrid w:val="0"/>
        <w:spacing w:before="0" w:beforeLines="0" w:line="40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p>
    <w:p w14:paraId="6EEF7EC7">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）政府采购合同专用条款</w:t>
      </w:r>
    </w:p>
    <w:p w14:paraId="1B0AA92C">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）政府采购合同通用条款</w:t>
      </w:r>
    </w:p>
    <w:p w14:paraId="26D53A77">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p>
    <w:p w14:paraId="7E6C9498">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）投标（响应）文件</w:t>
      </w:r>
    </w:p>
    <w:p w14:paraId="648FA18D">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（6）采购文件</w:t>
      </w:r>
    </w:p>
    <w:p w14:paraId="759DD121">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（7）有关技术文件，图纸</w:t>
      </w:r>
    </w:p>
    <w:p w14:paraId="6593E576">
      <w:pPr>
        <w:pStyle w:val="21"/>
        <w:spacing w:beforeLines="0"/>
        <w:rPr>
          <w:rFonts w:hint="eastAsia" w:ascii="宋体" w:hAnsi="宋体" w:eastAsia="宋体" w:cs="宋体"/>
          <w:color w:val="auto"/>
          <w:kern w:val="2"/>
          <w:sz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4EF24463">
      <w:pPr>
        <w:numPr>
          <w:ilvl w:val="0"/>
          <w:numId w:val="11"/>
        </w:numPr>
        <w:adjustRightInd w:val="0"/>
        <w:snapToGrid w:val="0"/>
        <w:spacing w:before="0" w:beforeLines="0" w:line="400" w:lineRule="exact"/>
        <w:ind w:firstLine="422" w:firstLineChars="200"/>
        <w:outlineLvl w:val="0"/>
        <w:rPr>
          <w:rFonts w:hint="eastAsia" w:ascii="宋体" w:hAnsi="宋体"/>
          <w:b/>
          <w:color w:val="auto"/>
          <w:szCs w:val="21"/>
          <w:highlight w:val="none"/>
        </w:rPr>
      </w:pPr>
      <w:bookmarkStart w:id="70" w:name="_Toc24779"/>
      <w:r>
        <w:rPr>
          <w:rFonts w:hint="eastAsia" w:ascii="宋体" w:hAnsi="宋体"/>
          <w:b/>
          <w:color w:val="auto"/>
          <w:szCs w:val="21"/>
          <w:highlight w:val="none"/>
        </w:rPr>
        <w:t>合同生效</w:t>
      </w:r>
      <w:bookmarkEnd w:id="70"/>
    </w:p>
    <w:p w14:paraId="0FA3C26A">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w:t>
      </w:r>
      <w:r>
        <w:rPr>
          <w:rFonts w:hint="eastAsia" w:ascii="宋体" w:hAnsi="宋体"/>
          <w:color w:val="auto"/>
          <w:szCs w:val="21"/>
          <w:highlight w:val="none"/>
        </w:rPr>
        <w:t>生效。</w:t>
      </w:r>
    </w:p>
    <w:p w14:paraId="7B00C468">
      <w:pPr>
        <w:numPr>
          <w:ilvl w:val="0"/>
          <w:numId w:val="11"/>
        </w:numPr>
        <w:adjustRightInd w:val="0"/>
        <w:snapToGrid w:val="0"/>
        <w:spacing w:before="0" w:beforeLines="0" w:line="400" w:lineRule="exact"/>
        <w:ind w:firstLine="422" w:firstLineChars="200"/>
        <w:outlineLvl w:val="0"/>
        <w:rPr>
          <w:rFonts w:hint="eastAsia" w:ascii="宋体" w:hAnsi="宋体"/>
          <w:b/>
          <w:color w:val="auto"/>
          <w:szCs w:val="21"/>
          <w:highlight w:val="none"/>
        </w:rPr>
      </w:pPr>
      <w:bookmarkStart w:id="71" w:name="_Toc28185"/>
      <w:r>
        <w:rPr>
          <w:rFonts w:hint="eastAsia" w:ascii="宋体" w:hAnsi="宋体"/>
          <w:b/>
          <w:color w:val="auto"/>
          <w:szCs w:val="21"/>
          <w:highlight w:val="none"/>
        </w:rPr>
        <w:t>合同份数</w:t>
      </w:r>
      <w:bookmarkEnd w:id="71"/>
    </w:p>
    <w:p w14:paraId="4579919D">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w:t>
      </w:r>
      <w:r>
        <w:rPr>
          <w:rFonts w:hint="eastAsia" w:ascii="宋体" w:hAnsi="宋体"/>
          <w:color w:val="auto"/>
          <w:szCs w:val="21"/>
          <w:highlight w:val="none"/>
          <w:lang w:eastAsia="zh-CN"/>
        </w:rPr>
        <w:t>甲方</w:t>
      </w:r>
      <w:r>
        <w:rPr>
          <w:rFonts w:hint="eastAsia" w:ascii="宋体" w:hAnsi="宋体"/>
          <w:color w:val="auto"/>
          <w:szCs w:val="21"/>
          <w:highlight w:val="none"/>
        </w:rPr>
        <w:t>执</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份，</w:t>
      </w:r>
      <w:r>
        <w:rPr>
          <w:rFonts w:hint="eastAsia" w:ascii="宋体" w:hAnsi="宋体"/>
          <w:color w:val="auto"/>
          <w:szCs w:val="21"/>
          <w:highlight w:val="none"/>
          <w:lang w:eastAsia="zh-CN"/>
        </w:rPr>
        <w:t>乙方</w:t>
      </w:r>
      <w:r>
        <w:rPr>
          <w:rFonts w:hint="eastAsia" w:ascii="宋体" w:hAnsi="宋体"/>
          <w:color w:val="auto"/>
          <w:szCs w:val="21"/>
          <w:highlight w:val="none"/>
        </w:rPr>
        <w:t>执</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份，均具有同等法律效力。</w:t>
      </w:r>
    </w:p>
    <w:p w14:paraId="20C1A5A2">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E60CCD3">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14:paraId="0AE649A4">
      <w:pPr>
        <w:adjustRightInd w:val="0"/>
        <w:snapToGrid w:val="0"/>
        <w:spacing w:before="0" w:beforeLines="0" w:line="400" w:lineRule="exact"/>
        <w:ind w:firstLine="420" w:firstLineChars="200"/>
        <w:outlineLvl w:val="0"/>
        <w:rPr>
          <w:color w:val="auto"/>
          <w:highlight w:val="none"/>
        </w:rPr>
      </w:pPr>
      <w:bookmarkStart w:id="72" w:name="_Toc5455"/>
      <w:r>
        <w:rPr>
          <w:rFonts w:hint="eastAsia" w:ascii="宋体" w:hAnsi="宋体"/>
          <w:color w:val="auto"/>
          <w:szCs w:val="21"/>
          <w:highlight w:val="none"/>
        </w:rPr>
        <w:t>附件：具体标</w:t>
      </w:r>
      <w:r>
        <w:rPr>
          <w:rFonts w:hint="eastAsia" w:ascii="宋体" w:hAnsi="宋体"/>
          <w:color w:val="auto"/>
          <w:szCs w:val="21"/>
          <w:highlight w:val="none"/>
          <w:lang w:eastAsia="zh-CN"/>
        </w:rPr>
        <w:t>的及其</w:t>
      </w:r>
      <w:r>
        <w:rPr>
          <w:rFonts w:hint="eastAsia" w:ascii="宋体" w:hAnsi="宋体"/>
          <w:color w:val="auto"/>
          <w:szCs w:val="21"/>
          <w:highlight w:val="none"/>
          <w:u w:val="none"/>
          <w:lang w:val="en-US" w:eastAsia="zh-CN"/>
        </w:rPr>
        <w:t>技术要求和商务要求</w:t>
      </w:r>
      <w:r>
        <w:rPr>
          <w:rFonts w:hint="eastAsia" w:ascii="宋体" w:hAnsi="宋体"/>
          <w:color w:val="auto"/>
          <w:szCs w:val="21"/>
          <w:highlight w:val="none"/>
        </w:rPr>
        <w:t>、联合协议、分包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协议等。</w:t>
      </w:r>
      <w:bookmarkEnd w:id="72"/>
    </w:p>
    <w:p w14:paraId="7DE36325">
      <w:pPr>
        <w:pStyle w:val="22"/>
        <w:spacing w:beforeLines="0" w:line="400" w:lineRule="exact"/>
        <w:rPr>
          <w:color w:val="auto"/>
          <w:highlight w:val="none"/>
        </w:rPr>
      </w:pPr>
    </w:p>
    <w:p w14:paraId="2A816C80">
      <w:pPr>
        <w:widowControl/>
        <w:suppressAutoHyphens/>
        <w:adjustRightInd w:val="0"/>
        <w:spacing w:before="120" w:beforeLines="0" w:line="400" w:lineRule="exact"/>
        <w:ind w:firstLine="567"/>
        <w:jc w:val="center"/>
        <w:outlineLvl w:val="9"/>
        <w:rPr>
          <w:rFonts w:hint="default" w:ascii="Arial" w:hAnsi="Arial" w:eastAsia="黑体" w:cs="Times New Roman"/>
          <w:b/>
          <w:bCs w:val="0"/>
          <w:color w:val="auto"/>
          <w:kern w:val="28"/>
          <w:sz w:val="30"/>
          <w:szCs w:val="21"/>
          <w:highlight w:val="none"/>
          <w:lang w:val="en" w:eastAsia="zh-CN" w:bidi="ar-SA"/>
        </w:rPr>
      </w:pPr>
      <w:r>
        <w:rPr>
          <w:rFonts w:hint="default" w:ascii="Arial" w:hAnsi="Arial" w:eastAsia="黑体" w:cs="Times New Roman"/>
          <w:b/>
          <w:color w:val="auto"/>
          <w:kern w:val="28"/>
          <w:sz w:val="30"/>
          <w:highlight w:val="none"/>
          <w:lang w:val="en" w:eastAsia="zh-CN" w:bidi="ar-SA"/>
        </w:rPr>
        <w:t xml:space="preserve">   </w:t>
      </w:r>
    </w:p>
    <w:p w14:paraId="2710E260">
      <w:pPr>
        <w:rPr>
          <w:rFonts w:hint="eastAsia"/>
          <w:color w:val="auto"/>
          <w:highlight w:val="none"/>
        </w:rPr>
      </w:pPr>
      <w:r>
        <w:rPr>
          <w:rFonts w:hint="eastAsia"/>
          <w:color w:val="auto"/>
          <w:highlight w:val="none"/>
        </w:rPr>
        <w:br w:type="page"/>
      </w:r>
    </w:p>
    <w:p w14:paraId="3EC4DCBF">
      <w:pPr>
        <w:pStyle w:val="22"/>
        <w:rPr>
          <w:rFonts w:hint="eastAsia"/>
          <w:color w:val="auto"/>
          <w:highlight w:val="none"/>
        </w:rPr>
      </w:pPr>
    </w:p>
    <w:tbl>
      <w:tblPr>
        <w:tblStyle w:val="1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1"/>
        <w:gridCol w:w="2628"/>
        <w:gridCol w:w="2156"/>
        <w:gridCol w:w="2306"/>
      </w:tblGrid>
      <w:tr w14:paraId="582BFF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48AAF778">
            <w:pPr>
              <w:adjustRightInd w:val="0"/>
              <w:snapToGrid w:val="0"/>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lang w:eastAsia="zh-CN"/>
              </w:rPr>
              <w:t>、受采购人委托签订合同的单位</w:t>
            </w:r>
            <w:r>
              <w:rPr>
                <w:rFonts w:hint="eastAsia" w:ascii="宋体" w:hAnsi="宋体"/>
                <w:color w:val="auto"/>
                <w:szCs w:val="21"/>
                <w:highlight w:val="none"/>
              </w:rPr>
              <w:t>或</w:t>
            </w:r>
            <w:r>
              <w:rPr>
                <w:rFonts w:hint="eastAsia"/>
                <w:color w:val="auto"/>
                <w:szCs w:val="21"/>
                <w:highlight w:val="none"/>
              </w:rPr>
              <w:t>采购文件约定的合同甲方）</w:t>
            </w:r>
          </w:p>
        </w:tc>
        <w:tc>
          <w:tcPr>
            <w:tcW w:w="2437" w:type="pct"/>
            <w:gridSpan w:val="2"/>
            <w:tcBorders>
              <w:left w:val="single" w:color="auto" w:sz="2" w:space="0"/>
              <w:bottom w:val="single" w:color="auto" w:sz="2" w:space="0"/>
            </w:tcBorders>
            <w:vAlign w:val="center"/>
          </w:tcPr>
          <w:p w14:paraId="36E248D9">
            <w:pPr>
              <w:adjustRightInd w:val="0"/>
              <w:snapToGrid w:val="0"/>
              <w:spacing w:line="300" w:lineRule="exact"/>
              <w:jc w:val="center"/>
              <w:rPr>
                <w:color w:val="auto"/>
                <w:highlight w:val="none"/>
              </w:rPr>
            </w:pPr>
            <w:r>
              <w:rPr>
                <w:color w:val="auto"/>
                <w:szCs w:val="21"/>
                <w:highlight w:val="none"/>
              </w:rPr>
              <w:t>乙方</w:t>
            </w:r>
            <w:r>
              <w:rPr>
                <w:rFonts w:hint="eastAsia"/>
                <w:color w:val="auto"/>
                <w:szCs w:val="21"/>
                <w:highlight w:val="none"/>
              </w:rPr>
              <w:t>（供应商）</w:t>
            </w:r>
          </w:p>
        </w:tc>
      </w:tr>
      <w:tr w14:paraId="2AA0D6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24AD0734">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7AFC58D1">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B39E13D">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1259" w:type="pct"/>
            <w:tcBorders>
              <w:top w:val="single" w:color="auto" w:sz="2" w:space="0"/>
              <w:left w:val="single" w:color="auto" w:sz="2" w:space="0"/>
              <w:bottom w:val="single" w:color="auto" w:sz="2" w:space="0"/>
            </w:tcBorders>
            <w:vAlign w:val="center"/>
          </w:tcPr>
          <w:p w14:paraId="46999FF2">
            <w:pPr>
              <w:adjustRightInd w:val="0"/>
              <w:snapToGrid w:val="0"/>
              <w:spacing w:line="300" w:lineRule="exact"/>
              <w:jc w:val="center"/>
              <w:rPr>
                <w:color w:val="auto"/>
                <w:spacing w:val="20"/>
                <w:szCs w:val="21"/>
                <w:highlight w:val="none"/>
              </w:rPr>
            </w:pPr>
          </w:p>
        </w:tc>
      </w:tr>
      <w:tr w14:paraId="5D0A4A7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33D3645E">
            <w:pPr>
              <w:adjustRightInd w:val="0"/>
              <w:snapToGrid w:val="0"/>
              <w:spacing w:line="300" w:lineRule="exact"/>
              <w:jc w:val="center"/>
              <w:rPr>
                <w:color w:val="auto"/>
                <w:szCs w:val="21"/>
                <w:highlight w:val="none"/>
              </w:rPr>
            </w:pPr>
            <w:r>
              <w:rPr>
                <w:color w:val="auto"/>
                <w:szCs w:val="21"/>
                <w:highlight w:val="none"/>
              </w:rPr>
              <w:t>法定代表人</w:t>
            </w:r>
          </w:p>
          <w:p w14:paraId="0C3085FE">
            <w:pPr>
              <w:adjustRightInd w:val="0"/>
              <w:snapToGrid w:val="0"/>
              <w:spacing w:line="300" w:lineRule="exact"/>
              <w:ind w:firstLine="100"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436" w:type="pct"/>
            <w:vMerge w:val="restart"/>
            <w:tcBorders>
              <w:top w:val="single" w:color="auto" w:sz="2" w:space="0"/>
              <w:left w:val="single" w:color="auto" w:sz="2" w:space="0"/>
              <w:right w:val="single" w:color="auto" w:sz="2" w:space="0"/>
            </w:tcBorders>
            <w:vAlign w:val="center"/>
          </w:tcPr>
          <w:p w14:paraId="72EEDC82">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right w:val="single" w:color="auto" w:sz="2" w:space="0"/>
            </w:tcBorders>
            <w:vAlign w:val="center"/>
          </w:tcPr>
          <w:p w14:paraId="0F77C645">
            <w:pPr>
              <w:adjustRightInd w:val="0"/>
              <w:snapToGrid w:val="0"/>
              <w:spacing w:line="300" w:lineRule="exact"/>
              <w:jc w:val="center"/>
              <w:rPr>
                <w:color w:val="auto"/>
                <w:szCs w:val="21"/>
                <w:highlight w:val="none"/>
              </w:rPr>
            </w:pPr>
            <w:r>
              <w:rPr>
                <w:color w:val="auto"/>
                <w:szCs w:val="21"/>
                <w:highlight w:val="none"/>
              </w:rPr>
              <w:t>法定代表人</w:t>
            </w:r>
          </w:p>
          <w:p w14:paraId="2DA068E8">
            <w:pPr>
              <w:adjustRightInd w:val="0"/>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259" w:type="pct"/>
            <w:tcBorders>
              <w:top w:val="single" w:color="auto" w:sz="2" w:space="0"/>
              <w:left w:val="single" w:color="auto" w:sz="2" w:space="0"/>
              <w:bottom w:val="single" w:color="auto" w:sz="2" w:space="0"/>
            </w:tcBorders>
            <w:vAlign w:val="center"/>
          </w:tcPr>
          <w:p w14:paraId="70BCEEFB">
            <w:pPr>
              <w:adjustRightInd w:val="0"/>
              <w:snapToGrid w:val="0"/>
              <w:spacing w:line="300" w:lineRule="exact"/>
              <w:jc w:val="center"/>
              <w:rPr>
                <w:color w:val="auto"/>
                <w:szCs w:val="21"/>
                <w:highlight w:val="none"/>
              </w:rPr>
            </w:pPr>
          </w:p>
        </w:tc>
      </w:tr>
      <w:tr w14:paraId="7DB113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0C96DE76">
            <w:pPr>
              <w:adjustRightInd w:val="0"/>
              <w:snapToGrid w:val="0"/>
              <w:spacing w:line="300" w:lineRule="exact"/>
              <w:jc w:val="center"/>
              <w:rPr>
                <w:color w:val="auto"/>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770E81EB">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18C839D">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14:paraId="56B6859E">
            <w:pPr>
              <w:adjustRightInd w:val="0"/>
              <w:snapToGrid w:val="0"/>
              <w:spacing w:line="300" w:lineRule="exact"/>
              <w:jc w:val="center"/>
              <w:rPr>
                <w:color w:val="auto"/>
                <w:spacing w:val="20"/>
                <w:szCs w:val="21"/>
                <w:highlight w:val="none"/>
              </w:rPr>
            </w:pPr>
          </w:p>
        </w:tc>
      </w:tr>
      <w:tr w14:paraId="26033E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93DA45B">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4178C11F">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4EB84AA">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1259" w:type="pct"/>
            <w:tcBorders>
              <w:top w:val="single" w:color="auto" w:sz="2" w:space="0"/>
              <w:left w:val="single" w:color="auto" w:sz="2" w:space="0"/>
              <w:bottom w:val="single" w:color="auto" w:sz="2" w:space="0"/>
            </w:tcBorders>
            <w:vAlign w:val="center"/>
          </w:tcPr>
          <w:p w14:paraId="6D2BC380">
            <w:pPr>
              <w:adjustRightInd w:val="0"/>
              <w:snapToGrid w:val="0"/>
              <w:spacing w:line="300" w:lineRule="exact"/>
              <w:jc w:val="center"/>
              <w:rPr>
                <w:color w:val="auto"/>
                <w:spacing w:val="20"/>
                <w:szCs w:val="21"/>
                <w:highlight w:val="none"/>
              </w:rPr>
            </w:pPr>
          </w:p>
        </w:tc>
      </w:tr>
      <w:tr w14:paraId="07AD04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119170F">
            <w:pPr>
              <w:adjustRightInd w:val="0"/>
              <w:snapToGrid w:val="0"/>
              <w:spacing w:line="300" w:lineRule="exact"/>
              <w:jc w:val="center"/>
              <w:rPr>
                <w:color w:val="auto"/>
                <w:szCs w:val="21"/>
                <w:highlight w:val="none"/>
              </w:rPr>
            </w:pPr>
            <w:r>
              <w:rPr>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0F354A37">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AF8AA55">
            <w:pPr>
              <w:adjustRightInd w:val="0"/>
              <w:snapToGrid w:val="0"/>
              <w:spacing w:line="300" w:lineRule="exact"/>
              <w:jc w:val="center"/>
              <w:rPr>
                <w:color w:val="auto"/>
                <w:szCs w:val="21"/>
                <w:highlight w:val="none"/>
              </w:rPr>
            </w:pPr>
            <w:r>
              <w:rPr>
                <w:color w:val="auto"/>
                <w:szCs w:val="21"/>
                <w:highlight w:val="none"/>
              </w:rPr>
              <w:t>联 系 人</w:t>
            </w:r>
          </w:p>
        </w:tc>
        <w:tc>
          <w:tcPr>
            <w:tcW w:w="1259" w:type="pct"/>
            <w:tcBorders>
              <w:top w:val="single" w:color="auto" w:sz="2" w:space="0"/>
              <w:left w:val="single" w:color="auto" w:sz="2" w:space="0"/>
              <w:bottom w:val="single" w:color="auto" w:sz="2" w:space="0"/>
            </w:tcBorders>
            <w:vAlign w:val="center"/>
          </w:tcPr>
          <w:p w14:paraId="1C592216">
            <w:pPr>
              <w:adjustRightInd w:val="0"/>
              <w:snapToGrid w:val="0"/>
              <w:spacing w:line="300" w:lineRule="exact"/>
              <w:jc w:val="center"/>
              <w:rPr>
                <w:color w:val="auto"/>
                <w:spacing w:val="20"/>
                <w:szCs w:val="21"/>
                <w:highlight w:val="none"/>
              </w:rPr>
            </w:pPr>
          </w:p>
        </w:tc>
      </w:tr>
      <w:tr w14:paraId="1D74F79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B964409">
            <w:pPr>
              <w:adjustRightInd w:val="0"/>
              <w:snapToGrid w:val="0"/>
              <w:spacing w:line="300" w:lineRule="exact"/>
              <w:jc w:val="center"/>
              <w:rPr>
                <w:color w:val="auto"/>
                <w:szCs w:val="21"/>
                <w:highlight w:val="none"/>
              </w:rPr>
            </w:pPr>
            <w:r>
              <w:rPr>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1C2A5C6">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79AEC14">
            <w:pPr>
              <w:adjustRightInd w:val="0"/>
              <w:snapToGrid w:val="0"/>
              <w:spacing w:line="300" w:lineRule="exact"/>
              <w:jc w:val="center"/>
              <w:rPr>
                <w:color w:val="auto"/>
                <w:szCs w:val="21"/>
                <w:highlight w:val="none"/>
              </w:rPr>
            </w:pPr>
            <w:r>
              <w:rPr>
                <w:color w:val="auto"/>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4E17B8A2">
            <w:pPr>
              <w:adjustRightInd w:val="0"/>
              <w:snapToGrid w:val="0"/>
              <w:spacing w:line="300" w:lineRule="exact"/>
              <w:jc w:val="center"/>
              <w:rPr>
                <w:color w:val="auto"/>
                <w:spacing w:val="20"/>
                <w:szCs w:val="21"/>
                <w:highlight w:val="none"/>
              </w:rPr>
            </w:pPr>
          </w:p>
        </w:tc>
      </w:tr>
      <w:tr w14:paraId="49FDD00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5CAA87B">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7EA8416C">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2E248C4">
            <w:pPr>
              <w:adjustRightInd w:val="0"/>
              <w:snapToGrid w:val="0"/>
              <w:spacing w:line="300" w:lineRule="exact"/>
              <w:jc w:val="center"/>
              <w:rPr>
                <w:color w:val="auto"/>
                <w:szCs w:val="21"/>
                <w:highlight w:val="none"/>
              </w:rPr>
            </w:pPr>
            <w:r>
              <w:rPr>
                <w:rFonts w:hint="eastAsia"/>
                <w:color w:val="auto"/>
                <w:szCs w:val="21"/>
                <w:highlight w:val="none"/>
                <w:lang w:eastAsia="zh-CN"/>
              </w:rPr>
              <w:t>通信地址</w:t>
            </w:r>
          </w:p>
        </w:tc>
        <w:tc>
          <w:tcPr>
            <w:tcW w:w="1259" w:type="pct"/>
            <w:tcBorders>
              <w:top w:val="single" w:color="auto" w:sz="2" w:space="0"/>
              <w:left w:val="single" w:color="auto" w:sz="2" w:space="0"/>
              <w:bottom w:val="single" w:color="auto" w:sz="2" w:space="0"/>
            </w:tcBorders>
            <w:vAlign w:val="center"/>
          </w:tcPr>
          <w:p w14:paraId="5B49601E">
            <w:pPr>
              <w:adjustRightInd w:val="0"/>
              <w:snapToGrid w:val="0"/>
              <w:spacing w:line="300" w:lineRule="exact"/>
              <w:jc w:val="center"/>
              <w:rPr>
                <w:color w:val="auto"/>
                <w:spacing w:val="20"/>
                <w:szCs w:val="21"/>
                <w:highlight w:val="none"/>
              </w:rPr>
            </w:pPr>
          </w:p>
        </w:tc>
      </w:tr>
      <w:tr w14:paraId="4852FAA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54C8975">
            <w:pPr>
              <w:adjustRightInd w:val="0"/>
              <w:snapToGrid w:val="0"/>
              <w:spacing w:line="300" w:lineRule="exact"/>
              <w:jc w:val="center"/>
              <w:rPr>
                <w:color w:val="auto"/>
                <w:szCs w:val="21"/>
                <w:highlight w:val="none"/>
              </w:rPr>
            </w:pPr>
            <w:r>
              <w:rPr>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545309B7">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1111DCE">
            <w:pPr>
              <w:adjustRightInd w:val="0"/>
              <w:snapToGrid w:val="0"/>
              <w:spacing w:line="300" w:lineRule="exact"/>
              <w:jc w:val="center"/>
              <w:rPr>
                <w:color w:val="auto"/>
                <w:szCs w:val="21"/>
                <w:highlight w:val="none"/>
              </w:rPr>
            </w:pPr>
            <w:r>
              <w:rPr>
                <w:color w:val="auto"/>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3BE666DD">
            <w:pPr>
              <w:adjustRightInd w:val="0"/>
              <w:snapToGrid w:val="0"/>
              <w:spacing w:line="300" w:lineRule="exact"/>
              <w:jc w:val="center"/>
              <w:rPr>
                <w:color w:val="auto"/>
                <w:spacing w:val="20"/>
                <w:szCs w:val="21"/>
                <w:highlight w:val="none"/>
              </w:rPr>
            </w:pPr>
          </w:p>
        </w:tc>
      </w:tr>
      <w:tr w14:paraId="0E1BE1D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56170B9">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0B03A5B3">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48FB928">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1532F9CA">
            <w:pPr>
              <w:adjustRightInd w:val="0"/>
              <w:snapToGrid w:val="0"/>
              <w:spacing w:line="300" w:lineRule="exact"/>
              <w:jc w:val="center"/>
              <w:rPr>
                <w:color w:val="auto"/>
                <w:spacing w:val="20"/>
                <w:szCs w:val="21"/>
                <w:highlight w:val="none"/>
              </w:rPr>
            </w:pPr>
          </w:p>
        </w:tc>
      </w:tr>
      <w:tr w14:paraId="0110E09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9385DE9">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21DFCE8F">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94DCE07">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437E2AE0">
            <w:pPr>
              <w:adjustRightInd w:val="0"/>
              <w:snapToGrid w:val="0"/>
              <w:spacing w:line="300" w:lineRule="exact"/>
              <w:jc w:val="center"/>
              <w:rPr>
                <w:color w:val="auto"/>
                <w:spacing w:val="20"/>
                <w:szCs w:val="21"/>
                <w:highlight w:val="none"/>
              </w:rPr>
            </w:pPr>
          </w:p>
        </w:tc>
      </w:tr>
      <w:tr w14:paraId="534B80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DFF4002">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5F6FB46">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0E2AE3C">
            <w:pPr>
              <w:adjustRightInd w:val="0"/>
              <w:snapToGrid w:val="0"/>
              <w:spacing w:line="300" w:lineRule="exact"/>
              <w:jc w:val="center"/>
              <w:rPr>
                <w:color w:val="auto"/>
                <w:szCs w:val="21"/>
                <w:highlight w:val="none"/>
              </w:rPr>
            </w:pPr>
            <w:r>
              <w:rPr>
                <w:color w:val="auto"/>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39F83A78">
            <w:pPr>
              <w:adjustRightInd w:val="0"/>
              <w:snapToGrid w:val="0"/>
              <w:spacing w:line="300" w:lineRule="exact"/>
              <w:jc w:val="center"/>
              <w:rPr>
                <w:color w:val="auto"/>
                <w:spacing w:val="20"/>
                <w:szCs w:val="21"/>
                <w:highlight w:val="none"/>
              </w:rPr>
            </w:pPr>
          </w:p>
        </w:tc>
      </w:tr>
      <w:tr w14:paraId="06647D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706FF34">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401D53F">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885E827">
            <w:pPr>
              <w:adjustRightInd w:val="0"/>
              <w:snapToGrid w:val="0"/>
              <w:spacing w:line="300" w:lineRule="exact"/>
              <w:jc w:val="center"/>
              <w:rPr>
                <w:color w:val="auto"/>
                <w:szCs w:val="21"/>
                <w:highlight w:val="none"/>
              </w:rPr>
            </w:pPr>
            <w:r>
              <w:rPr>
                <w:color w:val="auto"/>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1F1FADD0">
            <w:pPr>
              <w:adjustRightInd w:val="0"/>
              <w:snapToGrid w:val="0"/>
              <w:spacing w:line="300" w:lineRule="exact"/>
              <w:jc w:val="center"/>
              <w:rPr>
                <w:color w:val="auto"/>
                <w:spacing w:val="20"/>
                <w:szCs w:val="21"/>
                <w:highlight w:val="none"/>
              </w:rPr>
            </w:pPr>
          </w:p>
        </w:tc>
      </w:tr>
      <w:tr w14:paraId="2F6E5C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5FDF2BD">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62B0E12">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3CC5181">
            <w:pPr>
              <w:adjustRightInd w:val="0"/>
              <w:snapToGrid w:val="0"/>
              <w:spacing w:line="300" w:lineRule="exact"/>
              <w:jc w:val="center"/>
              <w:rPr>
                <w:color w:val="auto"/>
                <w:szCs w:val="21"/>
                <w:highlight w:val="none"/>
              </w:rPr>
            </w:pPr>
            <w:r>
              <w:rPr>
                <w:color w:val="auto"/>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73F03996">
            <w:pPr>
              <w:adjustRightInd w:val="0"/>
              <w:snapToGrid w:val="0"/>
              <w:spacing w:line="300" w:lineRule="exact"/>
              <w:jc w:val="center"/>
              <w:rPr>
                <w:color w:val="auto"/>
                <w:spacing w:val="20"/>
                <w:szCs w:val="21"/>
                <w:highlight w:val="none"/>
              </w:rPr>
            </w:pPr>
          </w:p>
        </w:tc>
      </w:tr>
      <w:tr w14:paraId="23F01F1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227474FB">
            <w:pPr>
              <w:pStyle w:val="8"/>
              <w:adjustRightInd w:val="0"/>
              <w:snapToGrid w:val="0"/>
              <w:spacing w:before="156" w:beforeLines="50" w:after="0" w:line="360" w:lineRule="auto"/>
              <w:ind w:left="0" w:leftChars="0"/>
              <w:jc w:val="left"/>
              <w:rPr>
                <w:color w:val="auto"/>
                <w:spacing w:val="20"/>
                <w:szCs w:val="21"/>
                <w:highlight w:val="none"/>
              </w:rPr>
            </w:pPr>
            <w:r>
              <w:rPr>
                <w:rFonts w:hint="eastAsia" w:ascii="宋体" w:hAnsi="宋体"/>
                <w:color w:val="auto"/>
                <w:szCs w:val="21"/>
                <w:highlight w:val="none"/>
              </w:rPr>
              <w:t>注：涉及联合体或其他合同主体的信息应按上表格式加列。</w:t>
            </w:r>
          </w:p>
        </w:tc>
      </w:tr>
    </w:tbl>
    <w:p w14:paraId="01ABCFCF">
      <w:pPr>
        <w:pStyle w:val="3"/>
        <w:adjustRightInd w:val="0"/>
        <w:snapToGrid w:val="0"/>
        <w:spacing w:before="156" w:beforeLines="50"/>
        <w:ind w:firstLine="567" w:firstLineChars="0"/>
        <w:jc w:val="center"/>
        <w:outlineLvl w:val="0"/>
        <w:rPr>
          <w:rFonts w:ascii="黑体" w:hAnsi="黑体" w:eastAsia="黑体"/>
          <w:color w:val="auto"/>
          <w:sz w:val="28"/>
          <w:szCs w:val="28"/>
          <w:highlight w:val="none"/>
        </w:rPr>
      </w:pPr>
      <w:r>
        <w:rPr>
          <w:rFonts w:ascii="宋体" w:hAnsi="宋体"/>
          <w:color w:val="auto"/>
          <w:sz w:val="21"/>
          <w:szCs w:val="21"/>
          <w:highlight w:val="none"/>
          <w:u w:val="single"/>
        </w:rPr>
        <w:br w:type="page"/>
      </w:r>
      <w:bookmarkStart w:id="73" w:name="_Toc21621"/>
      <w:bookmarkStart w:id="74" w:name="_Toc27624"/>
      <w:r>
        <w:rPr>
          <w:rFonts w:hint="eastAsia" w:ascii="黑体" w:hAnsi="黑体" w:eastAsia="黑体"/>
          <w:b w:val="0"/>
          <w:bCs w:val="0"/>
          <w:color w:val="auto"/>
          <w:sz w:val="28"/>
          <w:szCs w:val="28"/>
          <w:highlight w:val="none"/>
        </w:rPr>
        <w:t>第二节 政府采购合同通用条款</w:t>
      </w:r>
      <w:bookmarkEnd w:id="73"/>
      <w:bookmarkEnd w:id="74"/>
    </w:p>
    <w:p w14:paraId="1D80BC3C">
      <w:pPr>
        <w:tabs>
          <w:tab w:val="left" w:pos="8820"/>
          <w:tab w:val="left" w:pos="9345"/>
          <w:tab w:val="left" w:pos="9765"/>
        </w:tabs>
        <w:adjustRightInd w:val="0"/>
        <w:snapToGrid w:val="0"/>
        <w:spacing w:before="0" w:line="400" w:lineRule="exact"/>
        <w:jc w:val="left"/>
        <w:outlineLvl w:val="0"/>
        <w:rPr>
          <w:rFonts w:ascii="宋体" w:hAnsi="宋体"/>
          <w:b/>
          <w:bCs/>
          <w:color w:val="auto"/>
          <w:sz w:val="24"/>
          <w:highlight w:val="none"/>
        </w:rPr>
      </w:pPr>
      <w:bookmarkStart w:id="75" w:name="_Toc21021"/>
      <w:r>
        <w:rPr>
          <w:rFonts w:hint="eastAsia" w:ascii="宋体" w:hAnsi="宋体"/>
          <w:b/>
          <w:color w:val="auto"/>
          <w:sz w:val="24"/>
          <w:highlight w:val="none"/>
        </w:rPr>
        <w:t>1.</w:t>
      </w:r>
      <w:r>
        <w:rPr>
          <w:rFonts w:hint="eastAsia" w:ascii="宋体" w:hAnsi="宋体"/>
          <w:b/>
          <w:color w:val="auto"/>
          <w:sz w:val="24"/>
          <w:highlight w:val="none"/>
          <w:lang w:val="en-US" w:eastAsia="zh-CN"/>
        </w:rPr>
        <w:t xml:space="preserve"> </w:t>
      </w:r>
      <w:r>
        <w:rPr>
          <w:rFonts w:hint="eastAsia" w:ascii="宋体" w:hAnsi="宋体"/>
          <w:b/>
          <w:bCs/>
          <w:color w:val="auto"/>
          <w:sz w:val="24"/>
          <w:highlight w:val="none"/>
        </w:rPr>
        <w:t>定义</w:t>
      </w:r>
      <w:bookmarkEnd w:id="75"/>
    </w:p>
    <w:p w14:paraId="49A65CC4">
      <w:pPr>
        <w:autoSpaceDE w:val="0"/>
        <w:autoSpaceDN w:val="0"/>
        <w:adjustRightInd w:val="0"/>
        <w:snapToGrid w:val="0"/>
        <w:spacing w:before="0" w:line="400" w:lineRule="exact"/>
        <w:ind w:firstLine="420" w:firstLineChars="200"/>
        <w:jc w:val="left"/>
        <w:outlineLvl w:val="1"/>
        <w:rPr>
          <w:rFonts w:ascii="宋体" w:hAnsi="宋体"/>
          <w:color w:val="auto"/>
          <w:szCs w:val="21"/>
          <w:highlight w:val="none"/>
        </w:rPr>
      </w:pPr>
      <w:bookmarkStart w:id="76" w:name="_Toc23434"/>
      <w:r>
        <w:rPr>
          <w:rFonts w:hint="eastAsia" w:ascii="宋体" w:hAnsi="宋体"/>
          <w:color w:val="auto"/>
          <w:szCs w:val="21"/>
          <w:highlight w:val="none"/>
        </w:rPr>
        <w:t>1.1合同当事人</w:t>
      </w:r>
      <w:bookmarkEnd w:id="76"/>
    </w:p>
    <w:p w14:paraId="4129EF4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201E173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7774BA3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6F5CEEF6">
      <w:pPr>
        <w:tabs>
          <w:tab w:val="left" w:pos="570"/>
          <w:tab w:val="left" w:pos="9240"/>
          <w:tab w:val="left" w:pos="9555"/>
        </w:tabs>
        <w:adjustRightInd w:val="0"/>
        <w:snapToGrid w:val="0"/>
        <w:spacing w:before="0" w:line="400" w:lineRule="exact"/>
        <w:ind w:firstLine="420" w:firstLineChars="200"/>
        <w:jc w:val="left"/>
        <w:outlineLvl w:val="1"/>
        <w:rPr>
          <w:rFonts w:ascii="宋体" w:hAnsi="宋体"/>
          <w:color w:val="auto"/>
          <w:szCs w:val="21"/>
          <w:highlight w:val="none"/>
        </w:rPr>
      </w:pPr>
      <w:bookmarkStart w:id="77" w:name="_Toc23815"/>
      <w:r>
        <w:rPr>
          <w:rFonts w:hint="eastAsia" w:ascii="宋体" w:hAnsi="宋体"/>
          <w:color w:val="auto"/>
          <w:szCs w:val="21"/>
          <w:highlight w:val="none"/>
        </w:rPr>
        <w:t>1.2本合同下列术语应解释为：</w:t>
      </w:r>
      <w:bookmarkEnd w:id="77"/>
    </w:p>
    <w:p w14:paraId="2B6A0786">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auto"/>
          <w:szCs w:val="21"/>
          <w:highlight w:val="none"/>
        </w:rPr>
        <w:t>合同当事人意思表示达成一致的任何协议，包括签署的</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r>
        <w:rPr>
          <w:rFonts w:hint="eastAsia" w:ascii="宋体" w:hAnsi="宋体"/>
          <w:color w:val="auto"/>
          <w:szCs w:val="21"/>
          <w:highlight w:val="none"/>
        </w:rPr>
        <w:t>政府采购合同专用条款</w:t>
      </w:r>
      <w:r>
        <w:rPr>
          <w:rFonts w:hint="eastAsia" w:ascii="宋体" w:hAnsi="宋体"/>
          <w:color w:val="auto"/>
          <w:szCs w:val="21"/>
          <w:highlight w:val="none"/>
          <w:lang w:eastAsia="zh-CN"/>
        </w:rPr>
        <w:t>，</w:t>
      </w:r>
      <w:r>
        <w:rPr>
          <w:rFonts w:hint="eastAsia" w:ascii="宋体" w:hAnsi="宋体"/>
          <w:color w:val="auto"/>
          <w:szCs w:val="21"/>
          <w:highlight w:val="none"/>
        </w:rPr>
        <w:t>政府采购合同通用条款</w:t>
      </w:r>
      <w:r>
        <w:rPr>
          <w:rFonts w:hint="eastAsia" w:ascii="宋体" w:hAnsi="宋体"/>
          <w:color w:val="auto"/>
          <w:szCs w:val="21"/>
          <w:highlight w:val="none"/>
          <w:lang w:eastAsia="zh-CN"/>
        </w:rPr>
        <w:t>，</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r>
        <w:rPr>
          <w:rFonts w:hint="eastAsia" w:ascii="宋体" w:hAnsi="宋体"/>
          <w:color w:val="auto"/>
          <w:szCs w:val="21"/>
          <w:highlight w:val="none"/>
          <w:lang w:eastAsia="zh-CN"/>
        </w:rPr>
        <w:t>，</w:t>
      </w:r>
      <w:r>
        <w:rPr>
          <w:rFonts w:hint="eastAsia" w:ascii="宋体" w:hAnsi="宋体"/>
          <w:color w:val="auto"/>
          <w:szCs w:val="21"/>
          <w:highlight w:val="none"/>
        </w:rPr>
        <w:t>投标（响应）文件</w:t>
      </w:r>
      <w:r>
        <w:rPr>
          <w:rFonts w:hint="eastAsia" w:ascii="宋体" w:hAnsi="宋体"/>
          <w:color w:val="auto"/>
          <w:szCs w:val="21"/>
          <w:highlight w:val="none"/>
          <w:lang w:eastAsia="zh-CN"/>
        </w:rPr>
        <w:t>，</w:t>
      </w:r>
      <w:r>
        <w:rPr>
          <w:rFonts w:hint="eastAsia" w:ascii="宋体" w:hAnsi="宋体"/>
          <w:color w:val="auto"/>
          <w:szCs w:val="21"/>
          <w:highlight w:val="none"/>
        </w:rPr>
        <w:t>采购文件</w:t>
      </w:r>
      <w:r>
        <w:rPr>
          <w:rFonts w:hint="eastAsia" w:ascii="宋体" w:hAnsi="宋体"/>
          <w:color w:val="auto"/>
          <w:szCs w:val="21"/>
          <w:highlight w:val="none"/>
          <w:lang w:eastAsia="zh-CN"/>
        </w:rPr>
        <w:t>，</w:t>
      </w:r>
      <w:r>
        <w:rPr>
          <w:rFonts w:hint="eastAsia" w:ascii="宋体" w:hAnsi="宋体"/>
          <w:color w:val="auto"/>
          <w:szCs w:val="21"/>
          <w:highlight w:val="none"/>
        </w:rPr>
        <w:t>有关技术文件</w:t>
      </w:r>
      <w:r>
        <w:rPr>
          <w:rFonts w:hint="eastAsia" w:ascii="宋体" w:hAnsi="宋体"/>
          <w:color w:val="auto"/>
          <w:szCs w:val="21"/>
          <w:highlight w:val="none"/>
          <w:lang w:eastAsia="zh-CN"/>
        </w:rPr>
        <w:t>和</w:t>
      </w:r>
      <w:r>
        <w:rPr>
          <w:rFonts w:hint="eastAsia" w:ascii="宋体" w:hAnsi="宋体"/>
          <w:color w:val="auto"/>
          <w:szCs w:val="21"/>
          <w:highlight w:val="none"/>
        </w:rPr>
        <w:t>图纸</w:t>
      </w:r>
      <w:r>
        <w:rPr>
          <w:rFonts w:hint="eastAsia" w:ascii="宋体" w:hAnsi="宋体"/>
          <w:color w:val="auto"/>
          <w:szCs w:val="21"/>
          <w:highlight w:val="none"/>
          <w:lang w:eastAsia="zh-CN"/>
        </w:rPr>
        <w:t>，以及</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r>
        <w:rPr>
          <w:rFonts w:hint="eastAsia" w:ascii="宋体" w:hAnsi="宋体"/>
          <w:color w:val="auto"/>
          <w:szCs w:val="21"/>
          <w:highlight w:val="none"/>
        </w:rPr>
        <w:t>。</w:t>
      </w:r>
    </w:p>
    <w:p w14:paraId="107C25CA">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2F55384E">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）“货物”系指乙方根据本合同规定须向甲方提供的各种形态和种类的物品，包括原材料、设备、产品（包括软件）及相关的其备品备件、工具、手册及</w:t>
      </w:r>
      <w:r>
        <w:rPr>
          <w:rFonts w:hint="default" w:ascii="宋体" w:hAnsi="宋体"/>
          <w:color w:val="auto"/>
          <w:szCs w:val="21"/>
          <w:highlight w:val="none"/>
          <w:lang w:val="en"/>
        </w:rPr>
        <w:t>其他</w:t>
      </w:r>
      <w:r>
        <w:rPr>
          <w:rFonts w:hint="eastAsia" w:ascii="宋体" w:hAnsi="宋体"/>
          <w:color w:val="auto"/>
          <w:szCs w:val="21"/>
          <w:highlight w:val="none"/>
        </w:rPr>
        <w:t>技术资料和材料</w:t>
      </w:r>
      <w:r>
        <w:rPr>
          <w:rFonts w:hint="eastAsia" w:ascii="宋体" w:hAnsi="宋体"/>
          <w:color w:val="auto"/>
          <w:szCs w:val="21"/>
          <w:highlight w:val="none"/>
          <w:lang w:eastAsia="zh-CN"/>
        </w:rPr>
        <w:t>等</w:t>
      </w:r>
      <w:r>
        <w:rPr>
          <w:rFonts w:hint="eastAsia" w:ascii="宋体" w:hAnsi="宋体"/>
          <w:color w:val="auto"/>
          <w:szCs w:val="21"/>
          <w:highlight w:val="none"/>
        </w:rPr>
        <w:t>。</w:t>
      </w:r>
    </w:p>
    <w:p w14:paraId="566E42C7">
      <w:pPr>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相关</w:t>
      </w:r>
      <w:r>
        <w:rPr>
          <w:rFonts w:hint="eastAsia" w:ascii="宋体" w:hAnsi="宋体"/>
          <w:color w:val="auto"/>
          <w:szCs w:val="21"/>
          <w:highlight w:val="none"/>
        </w:rPr>
        <w:t>服务”系指根据合同规定，乙方应提供的</w:t>
      </w:r>
      <w:r>
        <w:rPr>
          <w:rFonts w:hint="eastAsia" w:ascii="宋体" w:hAnsi="宋体"/>
          <w:color w:val="auto"/>
          <w:szCs w:val="21"/>
          <w:highlight w:val="none"/>
          <w:lang w:val="en-US" w:eastAsia="zh-CN"/>
        </w:rPr>
        <w:t>与货物有关的</w:t>
      </w:r>
      <w:r>
        <w:rPr>
          <w:rFonts w:hint="eastAsia" w:ascii="宋体" w:hAnsi="宋体"/>
          <w:color w:val="auto"/>
          <w:szCs w:val="21"/>
          <w:highlight w:val="none"/>
        </w:rPr>
        <w:t>技术、管理和</w:t>
      </w:r>
      <w:r>
        <w:rPr>
          <w:rFonts w:hint="default"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w:t>
      </w:r>
      <w:r>
        <w:rPr>
          <w:rFonts w:hint="eastAsia" w:ascii="宋体" w:hAnsi="宋体"/>
          <w:color w:val="auto"/>
          <w:szCs w:val="21"/>
          <w:highlight w:val="none"/>
          <w:lang w:eastAsia="zh-CN"/>
        </w:rPr>
        <w:t>废弃处置、</w:t>
      </w:r>
      <w:r>
        <w:rPr>
          <w:rFonts w:hint="eastAsia" w:ascii="宋体" w:hAnsi="宋体"/>
          <w:color w:val="auto"/>
          <w:szCs w:val="21"/>
          <w:highlight w:val="none"/>
        </w:rPr>
        <w:t>技术支持等以及合同中规定乙方应承担的</w:t>
      </w:r>
      <w:r>
        <w:rPr>
          <w:rFonts w:hint="default" w:ascii="宋体" w:hAnsi="宋体"/>
          <w:color w:val="auto"/>
          <w:szCs w:val="21"/>
          <w:highlight w:val="none"/>
          <w:lang w:val="en"/>
        </w:rPr>
        <w:t>其他</w:t>
      </w:r>
      <w:r>
        <w:rPr>
          <w:rFonts w:hint="eastAsia" w:ascii="宋体" w:hAnsi="宋体"/>
          <w:color w:val="auto"/>
          <w:szCs w:val="21"/>
          <w:highlight w:val="none"/>
        </w:rPr>
        <w:t>义务。</w:t>
      </w:r>
    </w:p>
    <w:p w14:paraId="0A488D7E">
      <w:pPr>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）“分包”系指中标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供应商按采购文件、投标（响应）文件的规定，根据分包意向协议，将中标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项目中的部分履约内容，分给具有相应资质条件的供应商履行合同的行为。</w:t>
      </w:r>
    </w:p>
    <w:p w14:paraId="5234F362">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）“联合体”系指</w:t>
      </w:r>
      <w:r>
        <w:rPr>
          <w:rFonts w:hint="eastAsia" w:ascii="宋体" w:hAnsi="宋体"/>
          <w:color w:val="auto"/>
          <w:szCs w:val="21"/>
          <w:highlight w:val="none"/>
          <w:lang w:eastAsia="zh-CN"/>
        </w:rPr>
        <w:t>由</w:t>
      </w:r>
      <w:r>
        <w:rPr>
          <w:rFonts w:hint="eastAsia" w:ascii="宋体" w:hAnsi="宋体"/>
          <w:color w:val="auto"/>
          <w:szCs w:val="21"/>
          <w:highlight w:val="none"/>
        </w:rPr>
        <w:t>两个以上的自然人、法人或者</w:t>
      </w:r>
      <w:r>
        <w:rPr>
          <w:rFonts w:hint="eastAsia" w:ascii="宋体" w:hAnsi="宋体"/>
          <w:color w:val="auto"/>
          <w:szCs w:val="21"/>
          <w:highlight w:val="none"/>
          <w:lang w:val="en-US" w:eastAsia="zh-CN"/>
        </w:rPr>
        <w:t>非法人</w:t>
      </w:r>
      <w:r>
        <w:rPr>
          <w:rFonts w:hint="eastAsia" w:ascii="宋体" w:hAnsi="宋体"/>
          <w:color w:val="auto"/>
          <w:szCs w:val="21"/>
          <w:highlight w:val="none"/>
        </w:rPr>
        <w:t>组织组成，</w:t>
      </w:r>
      <w:r>
        <w:rPr>
          <w:rFonts w:hint="eastAsia" w:ascii="宋体" w:hAnsi="宋体"/>
          <w:color w:val="auto"/>
          <w:szCs w:val="21"/>
          <w:highlight w:val="none"/>
          <w:lang w:eastAsia="zh-CN"/>
        </w:rPr>
        <w:t>以一个供应商的身份共同参加政府采购的主体。</w:t>
      </w:r>
      <w:r>
        <w:rPr>
          <w:rFonts w:hint="eastAsia" w:ascii="宋体" w:hAnsi="宋体"/>
          <w:color w:val="auto"/>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auto"/>
          <w:szCs w:val="21"/>
          <w:highlight w:val="none"/>
          <w:lang w:eastAsia="zh-CN"/>
        </w:rPr>
        <w:t>甲方</w:t>
      </w:r>
      <w:r>
        <w:rPr>
          <w:rFonts w:hint="eastAsia" w:ascii="宋体" w:hAnsi="宋体"/>
          <w:color w:val="auto"/>
          <w:szCs w:val="21"/>
          <w:highlight w:val="none"/>
        </w:rPr>
        <w:t>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1023A5AD">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7DD9BA0A">
      <w:pPr>
        <w:numPr>
          <w:ilvl w:val="0"/>
          <w:numId w:val="14"/>
        </w:numPr>
        <w:autoSpaceDE w:val="0"/>
        <w:autoSpaceDN w:val="0"/>
        <w:adjustRightInd w:val="0"/>
        <w:snapToGrid w:val="0"/>
        <w:spacing w:before="0" w:line="400" w:lineRule="exact"/>
        <w:jc w:val="left"/>
        <w:outlineLvl w:val="0"/>
        <w:rPr>
          <w:rFonts w:ascii="宋体" w:hAnsi="宋体"/>
          <w:b/>
          <w:bCs/>
          <w:color w:val="auto"/>
          <w:sz w:val="24"/>
          <w:highlight w:val="none"/>
        </w:rPr>
      </w:pPr>
      <w:bookmarkStart w:id="78" w:name="_Toc20601"/>
      <w:r>
        <w:rPr>
          <w:rFonts w:hint="eastAsia" w:ascii="宋体" w:hAnsi="宋体"/>
          <w:b/>
          <w:color w:val="auto"/>
          <w:sz w:val="24"/>
          <w:highlight w:val="none"/>
        </w:rPr>
        <w:t>合同标的及金额</w:t>
      </w:r>
      <w:bookmarkEnd w:id="78"/>
    </w:p>
    <w:p w14:paraId="2E877858">
      <w:pPr>
        <w:autoSpaceDE w:val="0"/>
        <w:autoSpaceDN w:val="0"/>
        <w:adjustRightInd w:val="0"/>
        <w:snapToGrid w:val="0"/>
        <w:spacing w:before="0" w:line="400" w:lineRule="exact"/>
        <w:ind w:firstLine="420" w:firstLineChars="200"/>
        <w:jc w:val="left"/>
        <w:rPr>
          <w:rFonts w:ascii="宋体" w:hAnsi="宋体"/>
          <w:b/>
          <w:bCs/>
          <w:i/>
          <w:iCs/>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.1 合同标的及金额应与中标（成交）结果一致。乙方为履行本合同而发生的所有费用均应包含在合同</w:t>
      </w:r>
      <w:r>
        <w:rPr>
          <w:rFonts w:hint="eastAsia" w:ascii="宋体" w:hAnsi="宋体"/>
          <w:color w:val="auto"/>
          <w:szCs w:val="21"/>
          <w:highlight w:val="none"/>
          <w:lang w:eastAsia="zh-CN"/>
        </w:rPr>
        <w:t>价款</w:t>
      </w:r>
      <w:r>
        <w:rPr>
          <w:rFonts w:hint="eastAsia" w:ascii="宋体" w:hAnsi="宋体"/>
          <w:color w:val="auto"/>
          <w:szCs w:val="21"/>
          <w:highlight w:val="none"/>
        </w:rPr>
        <w:t>中，甲方不再另行支付</w:t>
      </w:r>
      <w:r>
        <w:rPr>
          <w:rFonts w:hint="default" w:ascii="宋体" w:hAnsi="宋体"/>
          <w:color w:val="auto"/>
          <w:szCs w:val="21"/>
          <w:highlight w:val="none"/>
          <w:lang w:val="en"/>
        </w:rPr>
        <w:t>其他</w:t>
      </w:r>
      <w:r>
        <w:rPr>
          <w:rFonts w:hint="eastAsia" w:ascii="宋体" w:hAnsi="宋体"/>
          <w:color w:val="auto"/>
          <w:szCs w:val="21"/>
          <w:highlight w:val="none"/>
        </w:rPr>
        <w:t>任何费用。</w:t>
      </w:r>
    </w:p>
    <w:p w14:paraId="3B48340A">
      <w:pPr>
        <w:adjustRightInd w:val="0"/>
        <w:snapToGrid w:val="0"/>
        <w:spacing w:before="0" w:line="400" w:lineRule="exact"/>
        <w:jc w:val="left"/>
        <w:outlineLvl w:val="0"/>
        <w:rPr>
          <w:rFonts w:ascii="宋体" w:hAnsi="宋体"/>
          <w:b/>
          <w:color w:val="auto"/>
          <w:sz w:val="24"/>
          <w:highlight w:val="none"/>
        </w:rPr>
      </w:pPr>
      <w:bookmarkStart w:id="79" w:name="_Toc23257"/>
      <w:r>
        <w:rPr>
          <w:rFonts w:hint="eastAsia" w:ascii="宋体" w:hAnsi="宋体"/>
          <w:b/>
          <w:color w:val="auto"/>
          <w:sz w:val="24"/>
          <w:highlight w:val="none"/>
          <w:lang w:eastAsia="zh-CN"/>
        </w:rPr>
        <w:t>3</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履行合同的时间、地点和方式</w:t>
      </w:r>
      <w:bookmarkEnd w:id="79"/>
    </w:p>
    <w:p w14:paraId="6F68619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21"/>
          <w:highlight w:val="none"/>
        </w:rPr>
        <w:t>乙方应当在约定的时间、地点</w:t>
      </w:r>
      <w:r>
        <w:rPr>
          <w:rFonts w:hint="eastAsia" w:ascii="宋体" w:hAnsi="宋体" w:cs="宋体"/>
          <w:color w:val="auto"/>
          <w:szCs w:val="21"/>
          <w:highlight w:val="none"/>
          <w:lang w:eastAsia="zh-CN"/>
        </w:rPr>
        <w:t>，按照约定</w:t>
      </w:r>
      <w:r>
        <w:rPr>
          <w:rFonts w:hint="eastAsia" w:ascii="宋体" w:hAnsi="宋体" w:eastAsia="宋体" w:cs="宋体"/>
          <w:color w:val="auto"/>
          <w:szCs w:val="21"/>
          <w:highlight w:val="none"/>
        </w:rPr>
        <w:t>方式履行合同。</w:t>
      </w:r>
    </w:p>
    <w:p w14:paraId="76FAD0FD">
      <w:pPr>
        <w:autoSpaceDE w:val="0"/>
        <w:autoSpaceDN w:val="0"/>
        <w:adjustRightInd w:val="0"/>
        <w:snapToGrid w:val="0"/>
        <w:spacing w:before="0" w:line="400" w:lineRule="exact"/>
        <w:jc w:val="left"/>
        <w:outlineLvl w:val="0"/>
        <w:rPr>
          <w:rFonts w:ascii="宋体" w:hAnsi="宋体"/>
          <w:b/>
          <w:bCs/>
          <w:color w:val="auto"/>
          <w:sz w:val="24"/>
          <w:highlight w:val="none"/>
        </w:rPr>
      </w:pPr>
      <w:bookmarkStart w:id="80" w:name="_Toc26690"/>
      <w:r>
        <w:rPr>
          <w:rFonts w:hint="eastAsia" w:ascii="宋体" w:hAnsi="宋体"/>
          <w:b/>
          <w:bCs/>
          <w:color w:val="auto"/>
          <w:sz w:val="24"/>
          <w:highlight w:val="none"/>
          <w:lang w:eastAsia="zh-CN"/>
        </w:rPr>
        <w:t>4</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甲方的权利和义务</w:t>
      </w:r>
      <w:bookmarkEnd w:id="80"/>
    </w:p>
    <w:p w14:paraId="2DB109E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.1</w:t>
      </w:r>
      <w:r>
        <w:rPr>
          <w:rFonts w:ascii="宋体" w:hAnsi="宋体"/>
          <w:color w:val="auto"/>
          <w:szCs w:val="21"/>
          <w:highlight w:val="none"/>
        </w:rPr>
        <w:t xml:space="preserve"> 签署合同后，甲方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4A1F519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 xml:space="preserve">.2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59B97A4B">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24F9E75E">
      <w:pPr>
        <w:snapToGrid w:val="0"/>
        <w:spacing w:line="400" w:lineRule="exact"/>
        <w:ind w:firstLine="420" w:firstLineChars="200"/>
        <w:rPr>
          <w:rFonts w:hint="eastAsia" w:eastAsia="华文楷体"/>
          <w:color w:val="auto"/>
          <w:highlight w:val="none"/>
          <w:lang w:val="en-US" w:eastAsia="zh-CN"/>
        </w:rPr>
      </w:pPr>
      <w:r>
        <w:rPr>
          <w:rFonts w:hint="default" w:ascii="宋体" w:hAnsi="宋体"/>
          <w:color w:val="auto"/>
          <w:szCs w:val="21"/>
          <w:highlight w:val="none"/>
          <w:lang w:val="en-US" w:eastAsia="zh-CN"/>
        </w:rPr>
        <w:t>4.4 甲方应当按照合同约定及时对交付的货物进行验收</w:t>
      </w:r>
      <w:r>
        <w:rPr>
          <w:rFonts w:hint="eastAsia" w:ascii="宋体" w:hAnsi="宋体"/>
          <w:color w:val="auto"/>
          <w:szCs w:val="21"/>
          <w:highlight w:val="none"/>
          <w:lang w:val="en-US" w:eastAsia="zh-CN"/>
        </w:rPr>
        <w:t>，</w:t>
      </w:r>
      <w:r>
        <w:rPr>
          <w:rFonts w:hint="eastAsia" w:ascii="宋体" w:hAnsi="宋体" w:cs="宋体"/>
          <w:b w:val="0"/>
          <w:bCs w:val="0"/>
          <w:color w:val="auto"/>
          <w:szCs w:val="21"/>
          <w:highlight w:val="none"/>
          <w:lang w:eastAsia="zh-CN"/>
        </w:rPr>
        <w:t>未</w:t>
      </w:r>
      <w:r>
        <w:rPr>
          <w:rFonts w:hint="eastAsia" w:ascii="宋体" w:hAnsi="宋体"/>
          <w:color w:val="auto"/>
          <w:szCs w:val="21"/>
          <w:highlight w:val="none"/>
          <w:lang w:val="en-US" w:eastAsia="zh-CN"/>
        </w:rPr>
        <w:t>在</w:t>
      </w:r>
      <w:r>
        <w:rPr>
          <w:rFonts w:hint="eastAsia" w:ascii="宋体" w:hAnsi="宋体" w:eastAsia="宋体" w:cs="宋体"/>
          <w:b/>
          <w:bCs/>
          <w:color w:val="auto"/>
          <w:szCs w:val="21"/>
          <w:highlight w:val="none"/>
        </w:rPr>
        <w:t>【政府采购合同专用条款】</w:t>
      </w:r>
      <w:r>
        <w:rPr>
          <w:rFonts w:hint="eastAsia" w:ascii="宋体" w:hAnsi="宋体" w:cs="宋体"/>
          <w:b w:val="0"/>
          <w:bCs w:val="0"/>
          <w:color w:val="auto"/>
          <w:szCs w:val="21"/>
          <w:highlight w:val="none"/>
          <w:lang w:eastAsia="zh-CN"/>
        </w:rPr>
        <w:t>约定的期限内对乙方履约提出任何异议或者向乙方作出任何说明的，</w:t>
      </w:r>
      <w:r>
        <w:rPr>
          <w:rFonts w:hint="eastAsia" w:ascii="宋体" w:hAnsi="宋体"/>
          <w:color w:val="auto"/>
          <w:szCs w:val="21"/>
          <w:highlight w:val="none"/>
          <w:lang w:val="en-US" w:eastAsia="zh-CN"/>
        </w:rPr>
        <w:t>视为验收通过。</w:t>
      </w:r>
    </w:p>
    <w:p w14:paraId="6C4672D4">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default" w:ascii="宋体" w:hAnsi="宋体"/>
          <w:color w:val="auto"/>
          <w:szCs w:val="21"/>
          <w:highlight w:val="none"/>
          <w:lang w:eastAsia="zh-CN"/>
        </w:rPr>
        <w:t>4</w:t>
      </w:r>
      <w:r>
        <w:rPr>
          <w:rFonts w:hint="eastAsia" w:ascii="宋体" w:hAnsi="宋体"/>
          <w:color w:val="auto"/>
          <w:szCs w:val="21"/>
          <w:highlight w:val="none"/>
        </w:rPr>
        <w:t>.</w:t>
      </w:r>
      <w:r>
        <w:rPr>
          <w:rFonts w:hint="default" w:ascii="宋体" w:hAnsi="宋体"/>
          <w:color w:val="auto"/>
          <w:szCs w:val="21"/>
          <w:highlight w:val="none"/>
          <w:lang w:val="en-US" w:eastAsia="zh-CN"/>
        </w:rPr>
        <w:t>5</w:t>
      </w:r>
      <w:r>
        <w:rPr>
          <w:rFonts w:ascii="宋体" w:hAnsi="宋体"/>
          <w:color w:val="auto"/>
          <w:szCs w:val="21"/>
          <w:highlight w:val="none"/>
        </w:rPr>
        <w:t xml:space="preserve"> </w:t>
      </w:r>
      <w:r>
        <w:rPr>
          <w:rFonts w:hint="eastAsia" w:ascii="宋体" w:hAnsi="宋体"/>
          <w:color w:val="auto"/>
          <w:szCs w:val="21"/>
          <w:highlight w:val="none"/>
        </w:rPr>
        <w:t>甲方应当根据合同约定</w:t>
      </w:r>
      <w:r>
        <w:rPr>
          <w:rFonts w:hint="eastAsia" w:ascii="宋体" w:hAnsi="宋体"/>
          <w:color w:val="auto"/>
          <w:szCs w:val="21"/>
          <w:highlight w:val="none"/>
          <w:lang w:eastAsia="zh-CN"/>
        </w:rPr>
        <w:t>及</w:t>
      </w:r>
      <w:r>
        <w:rPr>
          <w:rFonts w:hint="eastAsia" w:ascii="宋体" w:hAnsi="宋体"/>
          <w:color w:val="auto"/>
          <w:szCs w:val="21"/>
          <w:highlight w:val="none"/>
        </w:rPr>
        <w:t>时向乙方支付</w:t>
      </w:r>
      <w:r>
        <w:rPr>
          <w:rFonts w:hint="eastAsia" w:ascii="宋体" w:hAnsi="宋体"/>
          <w:color w:val="auto"/>
          <w:szCs w:val="21"/>
          <w:highlight w:val="none"/>
          <w:lang w:eastAsia="zh-CN"/>
        </w:rPr>
        <w:t>合同价款</w:t>
      </w:r>
      <w:r>
        <w:rPr>
          <w:rFonts w:hint="default" w:ascii="宋体" w:hAnsi="宋体"/>
          <w:color w:val="auto"/>
          <w:szCs w:val="21"/>
          <w:highlight w:val="none"/>
          <w:lang w:eastAsia="zh-CN"/>
        </w:rPr>
        <w:t>，不得以内部人员变更、履行内部付款流程等为由，拒绝或迟延支付。</w:t>
      </w:r>
    </w:p>
    <w:p w14:paraId="4357E05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ascii="宋体" w:hAnsi="宋体"/>
          <w:color w:val="auto"/>
          <w:szCs w:val="21"/>
          <w:highlight w:val="none"/>
        </w:rPr>
        <w:t xml:space="preserve"> </w:t>
      </w:r>
      <w:r>
        <w:rPr>
          <w:rFonts w:hint="eastAsia" w:ascii="宋体" w:hAnsi="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lang w:eastAsia="zh-CN"/>
        </w:rPr>
        <w:t>约定应</w:t>
      </w:r>
      <w:r>
        <w:rPr>
          <w:rFonts w:hint="eastAsia" w:ascii="宋体" w:hAnsi="宋体"/>
          <w:color w:val="auto"/>
          <w:szCs w:val="21"/>
          <w:highlight w:val="none"/>
        </w:rPr>
        <w:t>由甲方承担的其他义务和责任。</w:t>
      </w:r>
    </w:p>
    <w:p w14:paraId="266A4178">
      <w:pPr>
        <w:autoSpaceDE w:val="0"/>
        <w:autoSpaceDN w:val="0"/>
        <w:adjustRightInd w:val="0"/>
        <w:snapToGrid w:val="0"/>
        <w:spacing w:before="0" w:line="400" w:lineRule="exact"/>
        <w:jc w:val="left"/>
        <w:outlineLvl w:val="0"/>
        <w:rPr>
          <w:rFonts w:ascii="宋体" w:hAnsi="宋体"/>
          <w:b/>
          <w:bCs/>
          <w:color w:val="auto"/>
          <w:sz w:val="24"/>
          <w:highlight w:val="none"/>
        </w:rPr>
      </w:pPr>
      <w:bookmarkStart w:id="81" w:name="_Toc27222"/>
      <w:r>
        <w:rPr>
          <w:rFonts w:hint="eastAsia" w:ascii="宋体" w:hAnsi="宋体"/>
          <w:b/>
          <w:bCs/>
          <w:color w:val="auto"/>
          <w:sz w:val="24"/>
          <w:highlight w:val="none"/>
          <w:lang w:eastAsia="zh-CN"/>
        </w:rPr>
        <w:t>5</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乙方的权利和义务</w:t>
      </w:r>
      <w:bookmarkEnd w:id="81"/>
    </w:p>
    <w:p w14:paraId="7510342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 xml:space="preserve">.1 </w:t>
      </w:r>
      <w:r>
        <w:rPr>
          <w:rFonts w:ascii="宋体" w:hAnsi="宋体"/>
          <w:color w:val="auto"/>
          <w:szCs w:val="21"/>
          <w:highlight w:val="none"/>
        </w:rPr>
        <w:t>签署合同后，乙方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p>
    <w:p w14:paraId="6D9EACC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w:t>
      </w:r>
      <w:r>
        <w:rPr>
          <w:rFonts w:hint="eastAsia" w:ascii="宋体" w:hAnsi="宋体"/>
          <w:color w:val="auto"/>
          <w:szCs w:val="21"/>
          <w:highlight w:val="none"/>
          <w:lang w:eastAsia="zh-CN"/>
        </w:rPr>
        <w:t>及相关</w:t>
      </w:r>
      <w:r>
        <w:rPr>
          <w:rFonts w:hint="eastAsia" w:ascii="宋体" w:hAnsi="宋体"/>
          <w:color w:val="auto"/>
          <w:szCs w:val="21"/>
          <w:highlight w:val="none"/>
        </w:rPr>
        <w:t>服务符合合同</w:t>
      </w:r>
      <w:r>
        <w:rPr>
          <w:rFonts w:hint="eastAsia" w:ascii="宋体" w:hAnsi="宋体"/>
          <w:color w:val="auto"/>
          <w:szCs w:val="21"/>
          <w:highlight w:val="none"/>
          <w:lang w:eastAsia="zh-CN"/>
        </w:rPr>
        <w:t>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w:t>
      </w:r>
      <w:r>
        <w:rPr>
          <w:rFonts w:hint="eastAsia" w:ascii="宋体" w:hAnsi="宋体"/>
          <w:color w:val="auto"/>
          <w:szCs w:val="21"/>
          <w:highlight w:val="none"/>
          <w:lang w:eastAsia="zh-CN"/>
        </w:rPr>
        <w:t>及验收</w:t>
      </w:r>
      <w:r>
        <w:rPr>
          <w:rFonts w:hint="eastAsia" w:ascii="宋体" w:hAnsi="宋体"/>
          <w:color w:val="auto"/>
          <w:szCs w:val="21"/>
          <w:highlight w:val="none"/>
        </w:rPr>
        <w:t>，并</w:t>
      </w:r>
      <w:r>
        <w:rPr>
          <w:rFonts w:ascii="宋体" w:hAnsi="宋体"/>
          <w:color w:val="auto"/>
          <w:szCs w:val="21"/>
          <w:highlight w:val="none"/>
        </w:rPr>
        <w:t>负责项目实施过程中的所有协调工作。</w:t>
      </w:r>
    </w:p>
    <w:p w14:paraId="4A7A8047">
      <w:pPr>
        <w:pStyle w:val="6"/>
        <w:spacing w:after="0" w:line="400" w:lineRule="exact"/>
        <w:ind w:firstLine="369" w:firstLineChars="176"/>
        <w:rPr>
          <w:rFonts w:ascii="宋体" w:hAnsi="宋体" w:cs="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乙方有权</w:t>
      </w:r>
      <w:r>
        <w:rPr>
          <w:rFonts w:hint="eastAsia" w:ascii="宋体" w:hAnsi="宋体" w:cs="宋体"/>
          <w:color w:val="auto"/>
          <w:szCs w:val="21"/>
          <w:highlight w:val="none"/>
        </w:rPr>
        <w:t>根据合同约定向甲方收取</w:t>
      </w:r>
      <w:r>
        <w:rPr>
          <w:rFonts w:hint="eastAsia" w:ascii="宋体" w:hAnsi="宋体" w:cs="宋体"/>
          <w:color w:val="auto"/>
          <w:szCs w:val="21"/>
          <w:highlight w:val="none"/>
          <w:lang w:eastAsia="zh-CN"/>
        </w:rPr>
        <w:t>合同价款</w:t>
      </w:r>
      <w:r>
        <w:rPr>
          <w:rFonts w:hint="eastAsia" w:ascii="宋体" w:hAnsi="宋体" w:cs="宋体"/>
          <w:color w:val="auto"/>
          <w:szCs w:val="21"/>
          <w:highlight w:val="none"/>
        </w:rPr>
        <w:t>。</w:t>
      </w:r>
    </w:p>
    <w:p w14:paraId="1F4198CE">
      <w:pPr>
        <w:pStyle w:val="6"/>
        <w:spacing w:after="0" w:line="400" w:lineRule="exact"/>
        <w:ind w:firstLine="369" w:firstLineChars="176"/>
        <w:rPr>
          <w:rFonts w:ascii="宋体" w:hAnsi="宋体" w:cs="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s="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cs="宋体"/>
          <w:b w:val="0"/>
          <w:bCs w:val="0"/>
          <w:color w:val="auto"/>
          <w:szCs w:val="21"/>
          <w:highlight w:val="none"/>
          <w:lang w:eastAsia="zh-CN"/>
        </w:rPr>
        <w:t>约定应</w:t>
      </w:r>
      <w:r>
        <w:rPr>
          <w:rFonts w:hint="eastAsia" w:ascii="宋体" w:hAnsi="宋体" w:cs="宋体"/>
          <w:color w:val="auto"/>
          <w:szCs w:val="21"/>
          <w:highlight w:val="none"/>
        </w:rPr>
        <w:t>由乙方承担的其他义务和责任。</w:t>
      </w:r>
    </w:p>
    <w:p w14:paraId="3BECFD98">
      <w:pPr>
        <w:numPr>
          <w:ilvl w:val="0"/>
          <w:numId w:val="15"/>
        </w:numPr>
        <w:autoSpaceDE w:val="0"/>
        <w:autoSpaceDN w:val="0"/>
        <w:adjustRightInd w:val="0"/>
        <w:snapToGrid w:val="0"/>
        <w:spacing w:before="0" w:line="400" w:lineRule="exact"/>
        <w:jc w:val="left"/>
        <w:outlineLvl w:val="0"/>
        <w:rPr>
          <w:rFonts w:hint="eastAsia" w:ascii="宋体" w:hAnsi="宋体"/>
          <w:b/>
          <w:bCs/>
          <w:color w:val="auto"/>
          <w:sz w:val="24"/>
          <w:highlight w:val="none"/>
        </w:rPr>
      </w:pPr>
      <w:bookmarkStart w:id="82" w:name="_Toc5471"/>
      <w:r>
        <w:rPr>
          <w:rFonts w:hint="eastAsia" w:ascii="宋体" w:hAnsi="宋体"/>
          <w:b/>
          <w:bCs/>
          <w:color w:val="auto"/>
          <w:sz w:val="24"/>
          <w:highlight w:val="none"/>
        </w:rPr>
        <w:t>合同履</w:t>
      </w:r>
      <w:r>
        <w:rPr>
          <w:rFonts w:hint="eastAsia" w:ascii="宋体" w:hAnsi="宋体"/>
          <w:b/>
          <w:bCs/>
          <w:color w:val="auto"/>
          <w:sz w:val="24"/>
          <w:highlight w:val="none"/>
          <w:lang w:val="en-US" w:eastAsia="zh-CN"/>
        </w:rPr>
        <w:t>行</w:t>
      </w:r>
      <w:bookmarkEnd w:id="82"/>
    </w:p>
    <w:p w14:paraId="6A08EA5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.1 甲乙双方应当按照</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6B166CA7">
      <w:pPr>
        <w:autoSpaceDE w:val="0"/>
        <w:autoSpaceDN w:val="0"/>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06305C85">
      <w:pPr>
        <w:adjustRightInd w:val="0"/>
        <w:snapToGrid w:val="0"/>
        <w:spacing w:before="0" w:line="400" w:lineRule="exact"/>
        <w:jc w:val="left"/>
        <w:outlineLvl w:val="0"/>
        <w:rPr>
          <w:rFonts w:ascii="宋体" w:hAnsi="宋体"/>
          <w:b/>
          <w:bCs/>
          <w:color w:val="auto"/>
          <w:sz w:val="24"/>
          <w:highlight w:val="none"/>
        </w:rPr>
      </w:pPr>
      <w:bookmarkStart w:id="83" w:name="_Toc12260"/>
      <w:r>
        <w:rPr>
          <w:rFonts w:hint="eastAsia" w:ascii="宋体" w:hAnsi="宋体"/>
          <w:b/>
          <w:bCs/>
          <w:color w:val="auto"/>
          <w:sz w:val="24"/>
          <w:highlight w:val="none"/>
          <w:lang w:eastAsia="zh-CN"/>
        </w:rPr>
        <w:t>7</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货物包装、运输</w:t>
      </w:r>
      <w:r>
        <w:rPr>
          <w:rFonts w:hint="eastAsia" w:ascii="宋体" w:hAnsi="宋体"/>
          <w:b/>
          <w:bCs/>
          <w:color w:val="auto"/>
          <w:sz w:val="24"/>
          <w:highlight w:val="none"/>
          <w:lang w:eastAsia="zh-CN"/>
        </w:rPr>
        <w:t>、</w:t>
      </w:r>
      <w:r>
        <w:rPr>
          <w:rFonts w:hint="eastAsia" w:ascii="宋体" w:hAnsi="宋体"/>
          <w:b/>
          <w:bCs/>
          <w:color w:val="auto"/>
          <w:sz w:val="24"/>
          <w:highlight w:val="none"/>
        </w:rPr>
        <w:t>保险</w:t>
      </w:r>
      <w:r>
        <w:rPr>
          <w:rFonts w:hint="eastAsia" w:ascii="宋体" w:hAnsi="宋体"/>
          <w:b/>
          <w:bCs/>
          <w:color w:val="auto"/>
          <w:sz w:val="24"/>
          <w:highlight w:val="none"/>
          <w:lang w:eastAsia="zh-CN"/>
        </w:rPr>
        <w:t>和交付</w:t>
      </w:r>
      <w:r>
        <w:rPr>
          <w:rFonts w:hint="eastAsia" w:ascii="宋体" w:hAnsi="宋体"/>
          <w:b/>
          <w:bCs/>
          <w:color w:val="auto"/>
          <w:sz w:val="24"/>
          <w:highlight w:val="none"/>
        </w:rPr>
        <w:t>要求</w:t>
      </w:r>
      <w:bookmarkEnd w:id="83"/>
    </w:p>
    <w:p w14:paraId="6F8D8B2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.1 本合同</w:t>
      </w:r>
      <w:r>
        <w:rPr>
          <w:rFonts w:hint="eastAsia" w:ascii="宋体" w:hAnsi="宋体"/>
          <w:bCs/>
          <w:color w:val="auto"/>
          <w:szCs w:val="21"/>
          <w:highlight w:val="none"/>
        </w:rPr>
        <w:t>涉及商品包装</w:t>
      </w:r>
      <w:r>
        <w:rPr>
          <w:rFonts w:hint="eastAsia" w:ascii="宋体" w:hAnsi="宋体"/>
          <w:bCs/>
          <w:color w:val="auto"/>
          <w:szCs w:val="21"/>
          <w:highlight w:val="none"/>
          <w:lang w:eastAsia="zh-CN"/>
        </w:rPr>
        <w:t>、</w:t>
      </w:r>
      <w:r>
        <w:rPr>
          <w:rFonts w:hint="eastAsia" w:ascii="宋体" w:hAnsi="宋体"/>
          <w:bCs/>
          <w:color w:val="auto"/>
          <w:szCs w:val="21"/>
          <w:highlight w:val="none"/>
        </w:rPr>
        <w:t>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约定的</w:t>
      </w:r>
      <w:r>
        <w:rPr>
          <w:rFonts w:hint="eastAsia" w:ascii="宋体" w:hAnsi="宋体"/>
          <w:color w:val="auto"/>
          <w:szCs w:val="21"/>
          <w:highlight w:val="none"/>
        </w:rPr>
        <w:t>指定现场。</w:t>
      </w:r>
    </w:p>
    <w:p w14:paraId="05B1DA00">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乙方负责办理将货物运抵本合同规定的交货地点</w:t>
      </w:r>
      <w:r>
        <w:rPr>
          <w:rFonts w:hint="eastAsia" w:ascii="宋体" w:hAnsi="宋体"/>
          <w:color w:val="auto"/>
          <w:szCs w:val="21"/>
          <w:highlight w:val="none"/>
          <w:lang w:eastAsia="zh-CN"/>
        </w:rPr>
        <w:t>，并装卸、交付至甲方</w:t>
      </w:r>
      <w:r>
        <w:rPr>
          <w:rFonts w:hint="eastAsia" w:ascii="宋体" w:hAnsi="宋体"/>
          <w:color w:val="auto"/>
          <w:szCs w:val="21"/>
          <w:highlight w:val="none"/>
        </w:rPr>
        <w:t>的一切运输事项，相关费用应</w:t>
      </w:r>
      <w:r>
        <w:rPr>
          <w:rFonts w:hint="eastAsia" w:ascii="宋体" w:hAnsi="宋体"/>
          <w:color w:val="auto"/>
          <w:szCs w:val="21"/>
          <w:highlight w:val="none"/>
          <w:lang w:eastAsia="zh-CN"/>
        </w:rPr>
        <w:t>包含</w:t>
      </w:r>
      <w:r>
        <w:rPr>
          <w:rFonts w:hint="eastAsia" w:ascii="宋体" w:hAnsi="宋体"/>
          <w:color w:val="auto"/>
          <w:szCs w:val="21"/>
          <w:highlight w:val="none"/>
        </w:rPr>
        <w:t>在合同</w:t>
      </w:r>
      <w:r>
        <w:rPr>
          <w:rFonts w:hint="eastAsia" w:ascii="宋体" w:hAnsi="宋体"/>
          <w:color w:val="auto"/>
          <w:szCs w:val="21"/>
          <w:highlight w:val="none"/>
          <w:lang w:eastAsia="zh-CN"/>
        </w:rPr>
        <w:t>价款</w:t>
      </w:r>
      <w:r>
        <w:rPr>
          <w:rFonts w:hint="eastAsia" w:ascii="宋体" w:hAnsi="宋体"/>
          <w:color w:val="auto"/>
          <w:szCs w:val="21"/>
          <w:highlight w:val="none"/>
        </w:rPr>
        <w:t>中。</w:t>
      </w:r>
    </w:p>
    <w:p w14:paraId="44CC7D21">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76C5BD88">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 xml:space="preserve">.4 </w:t>
      </w:r>
      <w:r>
        <w:rPr>
          <w:rFonts w:hint="eastAsia" w:ascii="宋体" w:hAnsi="宋体"/>
          <w:color w:val="auto"/>
          <w:szCs w:val="21"/>
          <w:highlight w:val="none"/>
          <w:lang w:val="en-US" w:eastAsia="zh-CN"/>
        </w:rPr>
        <w:t>除采购活动</w:t>
      </w:r>
      <w:r>
        <w:rPr>
          <w:rFonts w:hint="eastAsia" w:ascii="宋体" w:hAnsi="宋体"/>
          <w:color w:val="auto"/>
          <w:szCs w:val="21"/>
          <w:highlight w:val="none"/>
        </w:rPr>
        <w:t>对商品包装</w:t>
      </w:r>
      <w:r>
        <w:rPr>
          <w:rFonts w:hint="eastAsia" w:ascii="宋体" w:hAnsi="宋体"/>
          <w:color w:val="auto"/>
          <w:szCs w:val="21"/>
          <w:highlight w:val="none"/>
          <w:lang w:eastAsia="zh-CN"/>
        </w:rPr>
        <w:t>、</w:t>
      </w:r>
      <w:r>
        <w:rPr>
          <w:rFonts w:hint="eastAsia" w:ascii="宋体" w:hAnsi="宋体"/>
          <w:color w:val="auto"/>
          <w:szCs w:val="21"/>
          <w:highlight w:val="none"/>
        </w:rPr>
        <w:t>快递包装</w:t>
      </w:r>
      <w:r>
        <w:rPr>
          <w:rFonts w:hint="eastAsia" w:ascii="宋体" w:hAnsi="宋体"/>
          <w:color w:val="auto"/>
          <w:szCs w:val="21"/>
          <w:highlight w:val="none"/>
          <w:lang w:val="en-US" w:eastAsia="zh-CN"/>
        </w:rPr>
        <w:t>达成具体约定外</w:t>
      </w:r>
      <w:r>
        <w:rPr>
          <w:rFonts w:hint="eastAsia" w:ascii="宋体" w:hAnsi="宋体"/>
          <w:color w:val="auto"/>
          <w:szCs w:val="21"/>
          <w:highlight w:val="none"/>
        </w:rPr>
        <w:t>，乙方提供产品及相关快递服务</w:t>
      </w:r>
      <w:r>
        <w:rPr>
          <w:rFonts w:hint="eastAsia" w:ascii="宋体" w:hAnsi="宋体"/>
          <w:color w:val="auto"/>
          <w:szCs w:val="21"/>
          <w:highlight w:val="none"/>
          <w:lang w:val="en-US" w:eastAsia="zh-CN"/>
        </w:rPr>
        <w:t>涉及到</w:t>
      </w:r>
      <w:r>
        <w:rPr>
          <w:rFonts w:hint="eastAsia" w:ascii="宋体" w:hAnsi="宋体"/>
          <w:color w:val="auto"/>
          <w:szCs w:val="21"/>
          <w:highlight w:val="none"/>
        </w:rPr>
        <w:t>具体包装要求</w:t>
      </w:r>
      <w:r>
        <w:rPr>
          <w:rFonts w:hint="eastAsia" w:ascii="宋体" w:hAnsi="宋体"/>
          <w:color w:val="auto"/>
          <w:szCs w:val="21"/>
          <w:highlight w:val="none"/>
          <w:lang w:val="en-US" w:eastAsia="zh-CN"/>
        </w:rPr>
        <w:t>的，</w:t>
      </w:r>
      <w:r>
        <w:rPr>
          <w:rFonts w:hint="eastAsia" w:ascii="宋体" w:hAnsi="宋体"/>
          <w:color w:val="auto"/>
          <w:szCs w:val="21"/>
          <w:highlight w:val="none"/>
        </w:rPr>
        <w:t>应</w:t>
      </w:r>
      <w:r>
        <w:rPr>
          <w:rFonts w:hint="eastAsia" w:ascii="宋体" w:hAnsi="宋体"/>
          <w:color w:val="auto"/>
          <w:szCs w:val="21"/>
          <w:highlight w:val="none"/>
          <w:lang w:val="en-US" w:eastAsia="zh-CN"/>
        </w:rPr>
        <w:t>不低于</w:t>
      </w:r>
      <w:r>
        <w:rPr>
          <w:rFonts w:hint="eastAsia" w:ascii="宋体" w:hAnsi="宋体"/>
          <w:color w:val="auto"/>
          <w:szCs w:val="21"/>
          <w:highlight w:val="none"/>
        </w:rPr>
        <w:t>《商品包装政府采购需求标准（试行）</w:t>
      </w:r>
      <w:r>
        <w:rPr>
          <w:rFonts w:hint="eastAsia" w:ascii="宋体" w:hAnsi="宋体"/>
          <w:color w:val="auto"/>
          <w:szCs w:val="21"/>
          <w:highlight w:val="none"/>
          <w:lang w:eastAsia="zh-CN"/>
        </w:rPr>
        <w:t>》《</w:t>
      </w:r>
      <w:r>
        <w:rPr>
          <w:rFonts w:hint="eastAsia" w:ascii="宋体" w:hAnsi="宋体"/>
          <w:color w:val="auto"/>
          <w:szCs w:val="21"/>
          <w:highlight w:val="none"/>
        </w:rPr>
        <w:t>快递包装政府采购需求标准（试行）》</w:t>
      </w:r>
      <w:r>
        <w:rPr>
          <w:rFonts w:hint="eastAsia" w:ascii="宋体" w:hAnsi="宋体"/>
          <w:color w:val="auto"/>
          <w:szCs w:val="21"/>
          <w:highlight w:val="none"/>
          <w:lang w:val="en-US" w:eastAsia="zh-CN"/>
        </w:rPr>
        <w:t>标准</w:t>
      </w:r>
      <w:r>
        <w:rPr>
          <w:rFonts w:hint="eastAsia" w:ascii="宋体" w:hAnsi="宋体"/>
          <w:color w:val="auto"/>
          <w:szCs w:val="21"/>
          <w:highlight w:val="none"/>
        </w:rPr>
        <w:t>，并作为履约验收的内容，必要时甲方可以要求乙方在履约验收环节出具检测报告。</w:t>
      </w:r>
    </w:p>
    <w:p w14:paraId="30A26F2F">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7.5 </w:t>
      </w:r>
      <w:r>
        <w:rPr>
          <w:rFonts w:hint="eastAsia" w:ascii="宋体" w:hAnsi="宋体" w:eastAsia="宋体" w:cs="宋体"/>
          <w:color w:val="auto"/>
          <w:szCs w:val="21"/>
          <w:highlight w:val="none"/>
        </w:rPr>
        <w:t>乙方在运输到达之前</w:t>
      </w:r>
      <w:r>
        <w:rPr>
          <w:rFonts w:hint="eastAsia" w:ascii="宋体" w:hAnsi="宋体" w:cs="宋体"/>
          <w:color w:val="auto"/>
          <w:szCs w:val="21"/>
          <w:highlight w:val="none"/>
          <w:lang w:eastAsia="zh-CN"/>
        </w:rPr>
        <w:t>应</w:t>
      </w:r>
      <w:r>
        <w:rPr>
          <w:rFonts w:hint="eastAsia" w:ascii="宋体" w:hAnsi="宋体" w:eastAsia="宋体" w:cs="宋体"/>
          <w:color w:val="auto"/>
          <w:szCs w:val="21"/>
          <w:highlight w:val="none"/>
        </w:rPr>
        <w:t>提前通知</w:t>
      </w:r>
      <w:r>
        <w:rPr>
          <w:rFonts w:hint="eastAsia" w:ascii="宋体" w:hAnsi="宋体" w:cs="宋体"/>
          <w:color w:val="auto"/>
          <w:szCs w:val="21"/>
          <w:highlight w:val="none"/>
          <w:lang w:eastAsia="zh-CN"/>
        </w:rPr>
        <w:t>甲方</w:t>
      </w:r>
      <w:r>
        <w:rPr>
          <w:rFonts w:hint="eastAsia" w:ascii="宋体" w:hAnsi="宋体" w:eastAsia="宋体" w:cs="宋体"/>
          <w:color w:val="auto"/>
          <w:szCs w:val="21"/>
          <w:highlight w:val="none"/>
        </w:rPr>
        <w:t>，并提示货物运输装卸的注意事项</w:t>
      </w:r>
      <w:r>
        <w:rPr>
          <w:rFonts w:hint="eastAsia" w:ascii="宋体" w:hAnsi="宋体" w:cs="宋体"/>
          <w:color w:val="auto"/>
          <w:szCs w:val="21"/>
          <w:highlight w:val="none"/>
          <w:lang w:eastAsia="zh-CN"/>
        </w:rPr>
        <w:t>，甲方配合乙方做好货物的接收工作。</w:t>
      </w:r>
    </w:p>
    <w:p w14:paraId="3037A807">
      <w:pPr>
        <w:pStyle w:val="21"/>
        <w:rPr>
          <w:rFonts w:hint="default" w:eastAsia="华文楷体"/>
          <w:color w:val="auto"/>
          <w:sz w:val="21"/>
          <w:highlight w:val="none"/>
          <w:lang w:val="en-US" w:eastAsia="zh-CN"/>
        </w:rPr>
      </w:pPr>
      <w:r>
        <w:rPr>
          <w:rFonts w:hint="eastAsia" w:ascii="宋体" w:hAnsi="宋体" w:eastAsia="宋体" w:cs="Times New Roman"/>
          <w:color w:val="auto"/>
          <w:kern w:val="2"/>
          <w:sz w:val="21"/>
          <w:szCs w:val="21"/>
          <w:highlight w:val="none"/>
          <w:lang w:val="en-US" w:eastAsia="zh-CN"/>
        </w:rPr>
        <w:t xml:space="preserve">7.6 </w:t>
      </w:r>
      <w:r>
        <w:rPr>
          <w:rFonts w:hint="eastAsia" w:ascii="宋体" w:hAnsi="宋体" w:eastAsia="宋体" w:cs="Times New Roman"/>
          <w:color w:val="auto"/>
          <w:kern w:val="2"/>
          <w:sz w:val="21"/>
          <w:szCs w:val="21"/>
          <w:highlight w:val="none"/>
        </w:rPr>
        <w:t>如因包装</w:t>
      </w:r>
      <w:r>
        <w:rPr>
          <w:rFonts w:hint="eastAsia" w:ascii="宋体" w:hAnsi="宋体" w:eastAsia="宋体" w:cs="Times New Roman"/>
          <w:color w:val="auto"/>
          <w:kern w:val="2"/>
          <w:sz w:val="21"/>
          <w:szCs w:val="21"/>
          <w:highlight w:val="none"/>
          <w:lang w:eastAsia="zh-CN"/>
        </w:rPr>
        <w:t>、运输</w:t>
      </w:r>
      <w:r>
        <w:rPr>
          <w:rFonts w:hint="eastAsia" w:ascii="宋体" w:hAnsi="宋体" w:eastAsia="宋体" w:cs="Times New Roman"/>
          <w:color w:val="auto"/>
          <w:kern w:val="2"/>
          <w:sz w:val="21"/>
          <w:szCs w:val="21"/>
          <w:highlight w:val="none"/>
        </w:rPr>
        <w:t>问题导致货物</w:t>
      </w:r>
      <w:r>
        <w:rPr>
          <w:rFonts w:hint="eastAsia" w:ascii="宋体" w:hAnsi="宋体" w:eastAsia="宋体" w:cs="Times New Roman"/>
          <w:color w:val="auto"/>
          <w:kern w:val="2"/>
          <w:sz w:val="21"/>
          <w:szCs w:val="21"/>
          <w:highlight w:val="none"/>
          <w:lang w:eastAsia="zh-CN"/>
        </w:rPr>
        <w:t>损毁、丢失</w:t>
      </w:r>
      <w:r>
        <w:rPr>
          <w:rFonts w:hint="eastAsia" w:ascii="宋体" w:hAnsi="宋体" w:eastAsia="宋体" w:cs="Times New Roman"/>
          <w:color w:val="auto"/>
          <w:kern w:val="2"/>
          <w:sz w:val="21"/>
          <w:szCs w:val="21"/>
          <w:highlight w:val="none"/>
        </w:rPr>
        <w:t>或者品质下降，</w:t>
      </w:r>
      <w:r>
        <w:rPr>
          <w:rFonts w:hint="eastAsia" w:ascii="宋体" w:hAnsi="宋体" w:eastAsia="宋体" w:cs="Times New Roman"/>
          <w:color w:val="auto"/>
          <w:kern w:val="2"/>
          <w:sz w:val="21"/>
          <w:szCs w:val="21"/>
          <w:highlight w:val="none"/>
          <w:lang w:eastAsia="zh-CN"/>
        </w:rPr>
        <w:t>甲方</w:t>
      </w:r>
      <w:r>
        <w:rPr>
          <w:rFonts w:hint="eastAsia" w:ascii="宋体" w:hAnsi="宋体" w:eastAsia="宋体" w:cs="Times New Roman"/>
          <w:color w:val="auto"/>
          <w:kern w:val="2"/>
          <w:sz w:val="21"/>
          <w:szCs w:val="21"/>
          <w:highlight w:val="none"/>
        </w:rPr>
        <w:t>有权要求降价、换货、拒收部分或整批货物，由此</w:t>
      </w:r>
      <w:r>
        <w:rPr>
          <w:rFonts w:hint="eastAsia" w:ascii="宋体" w:hAnsi="宋体" w:eastAsia="宋体" w:cs="Times New Roman"/>
          <w:color w:val="auto"/>
          <w:kern w:val="2"/>
          <w:sz w:val="21"/>
          <w:szCs w:val="21"/>
          <w:highlight w:val="none"/>
          <w:lang w:eastAsia="zh-CN"/>
        </w:rPr>
        <w:t>产生</w:t>
      </w:r>
      <w:r>
        <w:rPr>
          <w:rFonts w:hint="eastAsia" w:ascii="宋体" w:hAnsi="宋体" w:eastAsia="宋体" w:cs="Times New Roman"/>
          <w:color w:val="auto"/>
          <w:kern w:val="2"/>
          <w:sz w:val="21"/>
          <w:szCs w:val="21"/>
          <w:highlight w:val="none"/>
        </w:rPr>
        <w:t>的费用和损失，均由</w:t>
      </w:r>
      <w:r>
        <w:rPr>
          <w:rFonts w:hint="eastAsia" w:ascii="宋体" w:hAnsi="宋体" w:eastAsia="宋体" w:cs="Times New Roman"/>
          <w:color w:val="auto"/>
          <w:kern w:val="2"/>
          <w:sz w:val="21"/>
          <w:szCs w:val="21"/>
          <w:highlight w:val="none"/>
          <w:lang w:eastAsia="zh-CN"/>
        </w:rPr>
        <w:t>乙方</w:t>
      </w:r>
      <w:r>
        <w:rPr>
          <w:rFonts w:hint="eastAsia" w:ascii="宋体" w:hAnsi="宋体" w:eastAsia="宋体" w:cs="Times New Roman"/>
          <w:color w:val="auto"/>
          <w:kern w:val="2"/>
          <w:sz w:val="21"/>
          <w:szCs w:val="21"/>
          <w:highlight w:val="none"/>
        </w:rPr>
        <w:t>承担。</w:t>
      </w:r>
    </w:p>
    <w:p w14:paraId="27EBEF7A">
      <w:pPr>
        <w:adjustRightInd w:val="0"/>
        <w:snapToGrid w:val="0"/>
        <w:spacing w:before="0" w:line="400" w:lineRule="exact"/>
        <w:jc w:val="left"/>
        <w:outlineLvl w:val="0"/>
        <w:rPr>
          <w:rFonts w:ascii="宋体" w:hAnsi="宋体"/>
          <w:b/>
          <w:color w:val="auto"/>
          <w:sz w:val="24"/>
          <w:highlight w:val="none"/>
        </w:rPr>
      </w:pPr>
      <w:bookmarkStart w:id="84" w:name="_Toc16163"/>
      <w:r>
        <w:rPr>
          <w:rFonts w:hint="eastAsia" w:ascii="宋体" w:hAnsi="宋体"/>
          <w:b/>
          <w:color w:val="auto"/>
          <w:sz w:val="24"/>
          <w:highlight w:val="none"/>
          <w:lang w:eastAsia="zh-CN"/>
        </w:rPr>
        <w:t>8</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质量标准和保证</w:t>
      </w:r>
      <w:bookmarkEnd w:id="84"/>
    </w:p>
    <w:p w14:paraId="25FB1AC7">
      <w:pPr>
        <w:pStyle w:val="10"/>
        <w:adjustRightInd w:val="0"/>
        <w:snapToGrid w:val="0"/>
        <w:spacing w:before="0" w:line="400" w:lineRule="exact"/>
        <w:ind w:firstLine="400" w:firstLineChars="200"/>
        <w:jc w:val="left"/>
        <w:outlineLvl w:val="1"/>
        <w:rPr>
          <w:rFonts w:hAnsi="宋体"/>
          <w:b/>
          <w:color w:val="auto"/>
          <w:highlight w:val="none"/>
        </w:rPr>
      </w:pPr>
      <w:bookmarkStart w:id="85" w:name="_Toc8172"/>
      <w:r>
        <w:rPr>
          <w:rFonts w:hint="eastAsia" w:hAnsi="宋体"/>
          <w:color w:val="auto"/>
          <w:highlight w:val="none"/>
          <w:lang w:eastAsia="zh-CN"/>
        </w:rPr>
        <w:t>8</w:t>
      </w:r>
      <w:r>
        <w:rPr>
          <w:rFonts w:hint="eastAsia" w:hAnsi="宋体"/>
          <w:color w:val="auto"/>
          <w:highlight w:val="none"/>
        </w:rPr>
        <w:t>.1 质量标准</w:t>
      </w:r>
      <w:bookmarkEnd w:id="85"/>
    </w:p>
    <w:p w14:paraId="25B1F37C">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auto"/>
          <w:szCs w:val="21"/>
          <w:highlight w:val="none"/>
          <w:lang w:eastAsia="zh-CN"/>
        </w:rPr>
        <w:t>约</w:t>
      </w:r>
      <w:r>
        <w:rPr>
          <w:rFonts w:hint="eastAsia" w:ascii="宋体" w:hAnsi="宋体" w:eastAsia="宋体" w:cs="宋体"/>
          <w:color w:val="auto"/>
          <w:szCs w:val="21"/>
          <w:highlight w:val="none"/>
        </w:rPr>
        <w:t>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150CE5BF">
      <w:pPr>
        <w:pStyle w:val="10"/>
        <w:adjustRightInd w:val="0"/>
        <w:snapToGrid w:val="0"/>
        <w:spacing w:before="0" w:line="400" w:lineRule="exact"/>
        <w:ind w:firstLine="400" w:firstLineChars="200"/>
        <w:jc w:val="left"/>
        <w:rPr>
          <w:rFonts w:hAnsi="宋体"/>
          <w:color w:val="auto"/>
          <w:highlight w:val="none"/>
        </w:rPr>
      </w:pPr>
      <w:r>
        <w:rPr>
          <w:rFonts w:hint="eastAsia" w:hAnsi="宋体"/>
          <w:color w:val="auto"/>
          <w:highlight w:val="none"/>
        </w:rPr>
        <w:t>（2）采用中华人民共和国法定计量单位。</w:t>
      </w:r>
    </w:p>
    <w:p w14:paraId="2CF0879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1AB3E51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05E8D8AE">
      <w:pPr>
        <w:autoSpaceDE w:val="0"/>
        <w:autoSpaceDN w:val="0"/>
        <w:adjustRightInd w:val="0"/>
        <w:snapToGrid w:val="0"/>
        <w:spacing w:before="0" w:line="400" w:lineRule="exact"/>
        <w:ind w:firstLine="420" w:firstLineChars="200"/>
        <w:jc w:val="left"/>
        <w:outlineLvl w:val="1"/>
        <w:rPr>
          <w:rFonts w:ascii="宋体" w:hAnsi="宋体"/>
          <w:color w:val="auto"/>
          <w:szCs w:val="21"/>
          <w:highlight w:val="none"/>
        </w:rPr>
      </w:pPr>
      <w:bookmarkStart w:id="86" w:name="_Toc4399"/>
      <w:r>
        <w:rPr>
          <w:rFonts w:hint="eastAsia" w:ascii="宋体" w:hAnsi="宋体"/>
          <w:color w:val="auto"/>
          <w:szCs w:val="21"/>
          <w:highlight w:val="none"/>
          <w:lang w:eastAsia="zh-CN"/>
        </w:rPr>
        <w:t>8</w:t>
      </w:r>
      <w:r>
        <w:rPr>
          <w:rFonts w:hint="eastAsia" w:ascii="宋体" w:hAnsi="宋体"/>
          <w:color w:val="auto"/>
          <w:szCs w:val="21"/>
          <w:highlight w:val="none"/>
        </w:rPr>
        <w:t>.2 保证</w:t>
      </w:r>
      <w:bookmarkEnd w:id="86"/>
    </w:p>
    <w:p w14:paraId="32BD6EA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color w:val="auto"/>
          <w:szCs w:val="21"/>
          <w:highlight w:val="none"/>
        </w:rPr>
        <w:t>在其使用寿命期内具</w:t>
      </w:r>
      <w:r>
        <w:rPr>
          <w:rFonts w:hint="eastAsia" w:ascii="宋体" w:hAnsi="宋体" w:cs="宋体"/>
          <w:color w:val="auto"/>
          <w:szCs w:val="21"/>
          <w:highlight w:val="none"/>
          <w:lang w:eastAsia="zh-CN"/>
        </w:rPr>
        <w:t>备合同约定</w:t>
      </w:r>
      <w:r>
        <w:rPr>
          <w:rFonts w:hint="eastAsia" w:ascii="宋体" w:hAnsi="宋体" w:eastAsia="宋体" w:cs="宋体"/>
          <w:color w:val="auto"/>
          <w:szCs w:val="21"/>
          <w:highlight w:val="none"/>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34635CC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27B6A6E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4165E86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auto"/>
          <w:szCs w:val="21"/>
          <w:highlight w:val="none"/>
          <w:lang w:val="en-US" w:eastAsia="zh-CN"/>
        </w:rPr>
        <w:t>5</w:t>
      </w:r>
      <w:r>
        <w:rPr>
          <w:rFonts w:hint="eastAsia" w:ascii="宋体" w:hAnsi="宋体"/>
          <w:color w:val="auto"/>
          <w:szCs w:val="21"/>
          <w:highlight w:val="none"/>
        </w:rPr>
        <w:t>.1条规定以书面形式</w:t>
      </w:r>
      <w:r>
        <w:rPr>
          <w:rFonts w:hint="eastAsia" w:ascii="宋体" w:hAnsi="宋体"/>
          <w:color w:val="auto"/>
          <w:szCs w:val="21"/>
          <w:highlight w:val="none"/>
          <w:lang w:eastAsia="zh-CN"/>
        </w:rPr>
        <w:t>追究</w:t>
      </w:r>
      <w:r>
        <w:rPr>
          <w:rFonts w:hint="eastAsia" w:ascii="宋体" w:hAnsi="宋体"/>
          <w:color w:val="auto"/>
          <w:szCs w:val="21"/>
          <w:highlight w:val="none"/>
        </w:rPr>
        <w:t>乙方</w:t>
      </w:r>
      <w:r>
        <w:rPr>
          <w:rFonts w:hint="eastAsia" w:ascii="宋体" w:hAnsi="宋体"/>
          <w:color w:val="auto"/>
          <w:szCs w:val="21"/>
          <w:highlight w:val="none"/>
          <w:lang w:eastAsia="zh-CN"/>
        </w:rPr>
        <w:t>的违约责任</w:t>
      </w:r>
      <w:r>
        <w:rPr>
          <w:rFonts w:hint="eastAsia" w:ascii="宋体" w:hAnsi="宋体"/>
          <w:color w:val="auto"/>
          <w:szCs w:val="21"/>
          <w:highlight w:val="none"/>
        </w:rPr>
        <w:t>。</w:t>
      </w:r>
    </w:p>
    <w:p w14:paraId="0A4CC5AB">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16B30550">
      <w:pPr>
        <w:adjustRightInd w:val="0"/>
        <w:snapToGrid w:val="0"/>
        <w:spacing w:before="0" w:line="400" w:lineRule="exact"/>
        <w:jc w:val="left"/>
        <w:outlineLvl w:val="0"/>
        <w:rPr>
          <w:rFonts w:ascii="宋体" w:hAnsi="宋体"/>
          <w:b/>
          <w:bCs/>
          <w:color w:val="auto"/>
          <w:sz w:val="24"/>
          <w:highlight w:val="none"/>
        </w:rPr>
      </w:pPr>
      <w:bookmarkStart w:id="87" w:name="_Toc1278"/>
      <w:r>
        <w:rPr>
          <w:rFonts w:hint="eastAsia" w:ascii="宋体" w:hAnsi="宋体"/>
          <w:b/>
          <w:bCs/>
          <w:color w:val="auto"/>
          <w:sz w:val="24"/>
          <w:highlight w:val="none"/>
          <w:lang w:eastAsia="zh-CN"/>
        </w:rPr>
        <w:t>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权利瑕疵担保</w:t>
      </w:r>
      <w:bookmarkEnd w:id="87"/>
    </w:p>
    <w:p w14:paraId="2634C28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.1 乙方保证对其出售的货物享有合法的权利。</w:t>
      </w:r>
    </w:p>
    <w:p w14:paraId="2D5E63F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 xml:space="preserve">.2 </w:t>
      </w:r>
      <w:r>
        <w:rPr>
          <w:rFonts w:hint="eastAsia" w:ascii="宋体" w:hAnsi="宋体" w:eastAsia="宋体" w:cs="宋体"/>
          <w:color w:val="auto"/>
          <w:szCs w:val="15"/>
          <w:highlight w:val="none"/>
        </w:rPr>
        <w:t>乙方保证在交付的货物上不存在抵押权等担保物权。</w:t>
      </w:r>
    </w:p>
    <w:p w14:paraId="51A8CF8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.3 如甲方使用</w:t>
      </w:r>
      <w:r>
        <w:rPr>
          <w:rFonts w:hint="eastAsia" w:ascii="宋体" w:hAnsi="宋体"/>
          <w:color w:val="auto"/>
          <w:szCs w:val="21"/>
          <w:highlight w:val="none"/>
          <w:lang w:val="en-US" w:eastAsia="zh-CN"/>
        </w:rPr>
        <w:t>上述</w:t>
      </w:r>
      <w:r>
        <w:rPr>
          <w:rFonts w:hint="eastAsia" w:ascii="宋体" w:hAnsi="宋体"/>
          <w:color w:val="auto"/>
          <w:szCs w:val="21"/>
          <w:highlight w:val="none"/>
        </w:rPr>
        <w:t>货物构成</w:t>
      </w:r>
      <w:r>
        <w:rPr>
          <w:rFonts w:hint="eastAsia" w:ascii="宋体" w:hAnsi="宋体"/>
          <w:color w:val="auto"/>
          <w:szCs w:val="21"/>
          <w:highlight w:val="none"/>
          <w:lang w:val="en-US" w:eastAsia="zh-CN"/>
        </w:rPr>
        <w:t>对第三人</w:t>
      </w:r>
      <w:r>
        <w:rPr>
          <w:rFonts w:hint="eastAsia" w:ascii="宋体" w:hAnsi="宋体"/>
          <w:color w:val="auto"/>
          <w:szCs w:val="21"/>
          <w:highlight w:val="none"/>
        </w:rPr>
        <w:t>侵权的，则由乙方承担全部责任。</w:t>
      </w:r>
    </w:p>
    <w:p w14:paraId="712AF711">
      <w:pPr>
        <w:autoSpaceDE w:val="0"/>
        <w:autoSpaceDN w:val="0"/>
        <w:adjustRightInd w:val="0"/>
        <w:snapToGrid w:val="0"/>
        <w:spacing w:before="0" w:line="400" w:lineRule="exact"/>
        <w:jc w:val="left"/>
        <w:outlineLvl w:val="0"/>
        <w:rPr>
          <w:rFonts w:ascii="宋体" w:hAnsi="宋体"/>
          <w:b/>
          <w:bCs/>
          <w:color w:val="auto"/>
          <w:sz w:val="24"/>
          <w:highlight w:val="none"/>
        </w:rPr>
      </w:pPr>
      <w:bookmarkStart w:id="88" w:name="_Toc2940"/>
      <w:r>
        <w:rPr>
          <w:rFonts w:hint="eastAsia" w:ascii="宋体" w:hAnsi="宋体"/>
          <w:b/>
          <w:bCs/>
          <w:color w:val="auto"/>
          <w:sz w:val="24"/>
          <w:highlight w:val="none"/>
        </w:rPr>
        <w:t>1</w:t>
      </w:r>
      <w:r>
        <w:rPr>
          <w:rFonts w:hint="eastAsia" w:ascii="宋体" w:hAnsi="宋体"/>
          <w:b/>
          <w:bCs/>
          <w:color w:val="auto"/>
          <w:sz w:val="24"/>
          <w:highlight w:val="none"/>
          <w:lang w:eastAsia="zh-CN"/>
        </w:rPr>
        <w:t>0</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知识产权保护</w:t>
      </w:r>
      <w:bookmarkEnd w:id="88"/>
    </w:p>
    <w:p w14:paraId="74EDE20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0</w:t>
      </w:r>
      <w:r>
        <w:rPr>
          <w:rFonts w:hint="eastAsia" w:ascii="宋体" w:hAnsi="宋体"/>
          <w:color w:val="auto"/>
          <w:szCs w:val="21"/>
          <w:highlight w:val="none"/>
        </w:rPr>
        <w:t>.1 乙方对其所销售的货物应当享有知识产权或经权利人合法授权，保证没有侵犯任何第三人的知识产权等权利。</w:t>
      </w:r>
      <w:bookmarkStart w:id="89" w:name="_Hlk163047038"/>
      <w:r>
        <w:rPr>
          <w:rFonts w:hint="eastAsia" w:ascii="宋体" w:hAnsi="宋体" w:eastAsia="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89"/>
      <w:r>
        <w:rPr>
          <w:rFonts w:hint="eastAsia" w:ascii="宋体" w:hAnsi="宋体"/>
          <w:color w:val="auto"/>
          <w:szCs w:val="21"/>
          <w:highlight w:val="none"/>
        </w:rPr>
        <w:t>。</w:t>
      </w:r>
    </w:p>
    <w:p w14:paraId="14C96F9A">
      <w:pPr>
        <w:autoSpaceDE w:val="0"/>
        <w:autoSpaceDN w:val="0"/>
        <w:adjustRightInd w:val="0"/>
        <w:snapToGrid w:val="0"/>
        <w:spacing w:before="0" w:line="400" w:lineRule="exact"/>
        <w:jc w:val="left"/>
        <w:outlineLvl w:val="0"/>
        <w:rPr>
          <w:rFonts w:ascii="宋体" w:hAnsi="宋体"/>
          <w:b/>
          <w:bCs/>
          <w:color w:val="auto"/>
          <w:sz w:val="24"/>
          <w:highlight w:val="none"/>
        </w:rPr>
      </w:pPr>
      <w:bookmarkStart w:id="90" w:name="_Toc26669"/>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bookmarkEnd w:id="90"/>
    </w:p>
    <w:p w14:paraId="564A9CE9">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15"/>
          <w:highlight w:val="none"/>
        </w:rPr>
      </w:pPr>
      <w:r>
        <w:rPr>
          <w:rFonts w:hint="eastAsia" w:ascii="宋体" w:hAnsi="宋体" w:cs="宋体"/>
          <w:color w:val="auto"/>
          <w:szCs w:val="15"/>
          <w:highlight w:val="none"/>
          <w:lang w:val="en-US" w:eastAsia="zh-CN"/>
        </w:rPr>
        <w:t xml:space="preserve">11.1 </w:t>
      </w:r>
      <w:r>
        <w:rPr>
          <w:rFonts w:hint="eastAsia" w:ascii="宋体" w:hAnsi="宋体" w:eastAsia="宋体" w:cs="宋体"/>
          <w:color w:val="auto"/>
          <w:szCs w:val="15"/>
          <w:highlight w:val="none"/>
        </w:rPr>
        <w:t>甲、乙双方</w:t>
      </w:r>
      <w:r>
        <w:rPr>
          <w:rFonts w:hint="eastAsia" w:ascii="宋体" w:hAnsi="宋体" w:cs="宋体"/>
          <w:color w:val="auto"/>
          <w:szCs w:val="15"/>
          <w:highlight w:val="none"/>
          <w:lang w:eastAsia="zh-CN"/>
        </w:rPr>
        <w:t>对</w:t>
      </w:r>
      <w:r>
        <w:rPr>
          <w:rFonts w:hint="eastAsia" w:ascii="宋体" w:hAnsi="宋体" w:eastAsia="宋体" w:cs="宋体"/>
          <w:color w:val="auto"/>
          <w:szCs w:val="15"/>
          <w:highlight w:val="none"/>
        </w:rPr>
        <w:t>采购和合同履行过程中所获悉的</w:t>
      </w:r>
      <w:r>
        <w:rPr>
          <w:rFonts w:hint="eastAsia" w:ascii="宋体" w:hAnsi="宋体" w:cs="宋体"/>
          <w:color w:val="auto"/>
          <w:szCs w:val="15"/>
          <w:highlight w:val="none"/>
          <w:lang w:eastAsia="zh-CN"/>
        </w:rPr>
        <w:t>国家秘密、工作秘密、</w:t>
      </w:r>
      <w:r>
        <w:rPr>
          <w:rFonts w:hint="eastAsia" w:ascii="宋体" w:hAnsi="宋体" w:eastAsia="宋体" w:cs="宋体"/>
          <w:color w:val="auto"/>
          <w:szCs w:val="15"/>
          <w:highlight w:val="none"/>
        </w:rPr>
        <w:t>商业秘密或者其他应当保密的信息，均有保密义务</w:t>
      </w:r>
      <w:r>
        <w:rPr>
          <w:rFonts w:hint="eastAsia" w:ascii="宋体" w:hAnsi="宋体" w:cs="宋体"/>
          <w:color w:val="auto"/>
          <w:szCs w:val="15"/>
          <w:highlight w:val="none"/>
          <w:lang w:eastAsia="zh-CN"/>
        </w:rPr>
        <w:t>且不受合同有效期所限，直至该信息成为公开信息</w:t>
      </w:r>
      <w:r>
        <w:rPr>
          <w:rFonts w:hint="eastAsia" w:ascii="宋体" w:hAnsi="宋体" w:eastAsia="宋体" w:cs="宋体"/>
          <w:color w:val="auto"/>
          <w:szCs w:val="15"/>
          <w:highlight w:val="none"/>
        </w:rPr>
        <w:t>。泄露、不正当地使用</w:t>
      </w:r>
      <w:r>
        <w:rPr>
          <w:rFonts w:hint="eastAsia" w:ascii="宋体" w:hAnsi="宋体" w:cs="宋体"/>
          <w:color w:val="auto"/>
          <w:szCs w:val="15"/>
          <w:highlight w:val="none"/>
          <w:lang w:eastAsia="zh-CN"/>
        </w:rPr>
        <w:t>国家秘密、工作秘密、</w:t>
      </w:r>
      <w:r>
        <w:rPr>
          <w:rFonts w:hint="eastAsia" w:ascii="宋体" w:hAnsi="宋体" w:eastAsia="宋体" w:cs="宋体"/>
          <w:color w:val="auto"/>
          <w:szCs w:val="15"/>
          <w:highlight w:val="none"/>
        </w:rPr>
        <w:t>商业秘密或者</w:t>
      </w:r>
      <w:r>
        <w:rPr>
          <w:rFonts w:hint="eastAsia" w:ascii="宋体" w:hAnsi="宋体" w:cs="宋体"/>
          <w:color w:val="auto"/>
          <w:szCs w:val="15"/>
          <w:highlight w:val="none"/>
          <w:lang w:eastAsia="zh-CN"/>
        </w:rPr>
        <w:t>其他应当保密的</w:t>
      </w:r>
      <w:r>
        <w:rPr>
          <w:rFonts w:hint="eastAsia" w:ascii="宋体" w:hAnsi="宋体" w:eastAsia="宋体" w:cs="宋体"/>
          <w:color w:val="auto"/>
          <w:szCs w:val="15"/>
          <w:highlight w:val="none"/>
        </w:rPr>
        <w:t>信息，应当承担</w:t>
      </w:r>
      <w:r>
        <w:rPr>
          <w:rFonts w:hint="eastAsia" w:ascii="宋体" w:hAnsi="宋体" w:cs="宋体"/>
          <w:color w:val="auto"/>
          <w:szCs w:val="15"/>
          <w:highlight w:val="none"/>
          <w:lang w:eastAsia="zh-CN"/>
        </w:rPr>
        <w:t>相应</w:t>
      </w:r>
      <w:r>
        <w:rPr>
          <w:rFonts w:hint="eastAsia" w:ascii="宋体" w:hAnsi="宋体" w:eastAsia="宋体" w:cs="宋体"/>
          <w:color w:val="auto"/>
          <w:szCs w:val="15"/>
          <w:highlight w:val="none"/>
        </w:rPr>
        <w:t>责任。其他应当保密的信息由双方在</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15"/>
          <w:highlight w:val="none"/>
        </w:rPr>
        <w:t>中约定。</w:t>
      </w:r>
    </w:p>
    <w:p w14:paraId="2D5A3606">
      <w:pPr>
        <w:autoSpaceDE w:val="0"/>
        <w:autoSpaceDN w:val="0"/>
        <w:adjustRightInd w:val="0"/>
        <w:snapToGrid w:val="0"/>
        <w:spacing w:before="0" w:line="400" w:lineRule="exact"/>
        <w:jc w:val="left"/>
        <w:outlineLvl w:val="0"/>
        <w:rPr>
          <w:rFonts w:ascii="宋体" w:hAnsi="宋体"/>
          <w:b/>
          <w:bCs/>
          <w:color w:val="auto"/>
          <w:sz w:val="24"/>
          <w:highlight w:val="none"/>
        </w:rPr>
      </w:pPr>
      <w:bookmarkStart w:id="91" w:name="_Toc32716"/>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bookmarkEnd w:id="91"/>
    </w:p>
    <w:p w14:paraId="4268DBF5">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1144AC0E">
      <w:pPr>
        <w:pStyle w:val="3"/>
        <w:spacing w:line="400" w:lineRule="exact"/>
        <w:ind w:firstLine="420" w:firstLineChars="200"/>
        <w:outlineLvl w:val="9"/>
        <w:rPr>
          <w:rFonts w:hint="eastAsia" w:eastAsia="宋体"/>
          <w:color w:val="auto"/>
          <w:highlight w:val="none"/>
          <w:lang w:eastAsia="zh-CN"/>
        </w:rPr>
      </w:pPr>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p>
    <w:p w14:paraId="25330EB9">
      <w:pPr>
        <w:pStyle w:val="6"/>
        <w:spacing w:after="0" w:line="400" w:lineRule="exact"/>
        <w:outlineLvl w:val="0"/>
        <w:rPr>
          <w:rFonts w:ascii="宋体" w:hAnsi="宋体"/>
          <w:b/>
          <w:bCs/>
          <w:color w:val="auto"/>
          <w:sz w:val="24"/>
          <w:szCs w:val="24"/>
          <w:highlight w:val="none"/>
        </w:rPr>
      </w:pPr>
      <w:bookmarkStart w:id="92" w:name="_Toc30023"/>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bookmarkEnd w:id="92"/>
    </w:p>
    <w:p w14:paraId="6692DFB3">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15"/>
          <w:highlight w:val="none"/>
        </w:rPr>
        <w:t>乙方应当以支票、汇票、本票或者金融机构、担保机构出具的保函等非现金形式提交。</w:t>
      </w:r>
    </w:p>
    <w:p w14:paraId="67D0C7A5">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color w:val="auto"/>
          <w:szCs w:val="15"/>
          <w:highlight w:val="none"/>
        </w:rPr>
        <w:t>【政府采购合同专用条款】</w:t>
      </w:r>
      <w:r>
        <w:rPr>
          <w:rFonts w:hint="eastAsia" w:ascii="宋体" w:hAnsi="宋体" w:cs="宋体"/>
          <w:b w:val="0"/>
          <w:bCs w:val="0"/>
          <w:color w:val="auto"/>
          <w:szCs w:val="15"/>
          <w:highlight w:val="none"/>
          <w:lang w:eastAsia="zh-CN"/>
        </w:rPr>
        <w:t>约定情形的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1E1766BD">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145AEC68">
      <w:pPr>
        <w:autoSpaceDE w:val="0"/>
        <w:autoSpaceDN w:val="0"/>
        <w:adjustRightInd w:val="0"/>
        <w:snapToGrid w:val="0"/>
        <w:spacing w:before="0" w:line="400" w:lineRule="exact"/>
        <w:jc w:val="left"/>
        <w:outlineLvl w:val="0"/>
        <w:rPr>
          <w:rFonts w:ascii="宋体" w:hAnsi="宋体"/>
          <w:b/>
          <w:color w:val="auto"/>
          <w:sz w:val="24"/>
          <w:highlight w:val="none"/>
        </w:rPr>
      </w:pPr>
      <w:bookmarkStart w:id="93" w:name="_Toc20349"/>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bookmarkEnd w:id="93"/>
    </w:p>
    <w:p w14:paraId="7238238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47D5ED7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7689644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5D0BDEB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color w:val="auto"/>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5C62A0C0">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color w:val="auto"/>
          <w:szCs w:val="15"/>
          <w:highlight w:val="none"/>
          <w:lang w:eastAsia="zh-CN"/>
        </w:rPr>
        <w:t>；</w:t>
      </w:r>
    </w:p>
    <w:p w14:paraId="57156AE3">
      <w:pPr>
        <w:pStyle w:val="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6690F3A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276FD93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0EF13FF7">
      <w:pPr>
        <w:adjustRightInd w:val="0"/>
        <w:snapToGrid w:val="0"/>
        <w:spacing w:before="0" w:line="400" w:lineRule="exact"/>
        <w:jc w:val="left"/>
        <w:outlineLvl w:val="0"/>
        <w:rPr>
          <w:rFonts w:ascii="宋体" w:hAnsi="宋体"/>
          <w:b/>
          <w:bCs/>
          <w:color w:val="auto"/>
          <w:sz w:val="24"/>
          <w:highlight w:val="none"/>
        </w:rPr>
      </w:pPr>
      <w:bookmarkStart w:id="94" w:name="_Toc469"/>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bookmarkEnd w:id="94"/>
    </w:p>
    <w:p w14:paraId="7E9832B9">
      <w:pPr>
        <w:adjustRightInd w:val="0"/>
        <w:snapToGrid w:val="0"/>
        <w:spacing w:before="0" w:line="400" w:lineRule="exact"/>
        <w:ind w:firstLine="420" w:firstLineChars="200"/>
        <w:jc w:val="left"/>
        <w:outlineLvl w:val="1"/>
        <w:rPr>
          <w:rFonts w:hint="eastAsia" w:ascii="宋体" w:hAnsi="宋体"/>
          <w:bCs/>
          <w:color w:val="auto"/>
          <w:szCs w:val="21"/>
          <w:highlight w:val="none"/>
        </w:rPr>
      </w:pPr>
      <w:bookmarkStart w:id="95" w:name="_Toc5393"/>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bookmarkEnd w:id="95"/>
    </w:p>
    <w:p w14:paraId="69F34789">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647B358B">
      <w:pPr>
        <w:autoSpaceDE w:val="0"/>
        <w:autoSpaceDN w:val="0"/>
        <w:adjustRightInd w:val="0"/>
        <w:snapToGrid w:val="0"/>
        <w:spacing w:before="0" w:line="400" w:lineRule="exact"/>
        <w:ind w:firstLine="420" w:firstLineChars="200"/>
        <w:jc w:val="left"/>
        <w:outlineLvl w:val="1"/>
        <w:rPr>
          <w:rFonts w:ascii="宋体" w:hAnsi="宋体"/>
          <w:bCs/>
          <w:color w:val="auto"/>
          <w:szCs w:val="21"/>
          <w:highlight w:val="none"/>
        </w:rPr>
      </w:pPr>
      <w:bookmarkStart w:id="96" w:name="_Toc21762"/>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bookmarkEnd w:id="96"/>
    </w:p>
    <w:p w14:paraId="36496F2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777D4722">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3B637C54">
      <w:pPr>
        <w:autoSpaceDE w:val="0"/>
        <w:autoSpaceDN w:val="0"/>
        <w:adjustRightInd w:val="0"/>
        <w:snapToGrid w:val="0"/>
        <w:spacing w:before="0" w:line="400" w:lineRule="exact"/>
        <w:ind w:firstLine="420" w:firstLineChars="200"/>
        <w:jc w:val="left"/>
        <w:outlineLvl w:val="1"/>
        <w:rPr>
          <w:rFonts w:ascii="宋体" w:hAnsi="宋体"/>
          <w:color w:val="auto"/>
          <w:szCs w:val="21"/>
          <w:highlight w:val="none"/>
        </w:rPr>
      </w:pPr>
      <w:bookmarkStart w:id="97" w:name="_Toc32495"/>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bookmarkEnd w:id="97"/>
    </w:p>
    <w:p w14:paraId="42EE064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25963325">
      <w:pPr>
        <w:adjustRightInd w:val="0"/>
        <w:snapToGrid w:val="0"/>
        <w:spacing w:before="0" w:line="400" w:lineRule="exact"/>
        <w:ind w:firstLine="420" w:firstLineChars="200"/>
        <w:jc w:val="left"/>
        <w:outlineLvl w:val="1"/>
        <w:rPr>
          <w:rFonts w:ascii="宋体" w:hAnsi="宋体"/>
          <w:color w:val="auto"/>
          <w:szCs w:val="21"/>
          <w:highlight w:val="none"/>
        </w:rPr>
      </w:pPr>
      <w:bookmarkStart w:id="98" w:name="_Toc32734"/>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bookmarkEnd w:id="98"/>
    </w:p>
    <w:p w14:paraId="031827AD">
      <w:pPr>
        <w:numPr>
          <w:ilvl w:val="0"/>
          <w:numId w:val="16"/>
        </w:numPr>
        <w:autoSpaceDE w:val="0"/>
        <w:autoSpaceDN w:val="0"/>
        <w:adjustRightInd w:val="0"/>
        <w:snapToGrid w:val="0"/>
        <w:spacing w:before="0" w:line="400" w:lineRule="exact"/>
        <w:jc w:val="left"/>
        <w:outlineLvl w:val="0"/>
        <w:rPr>
          <w:rFonts w:ascii="宋体" w:hAnsi="宋体"/>
          <w:b/>
          <w:color w:val="auto"/>
          <w:sz w:val="24"/>
          <w:highlight w:val="none"/>
        </w:rPr>
      </w:pPr>
      <w:bookmarkStart w:id="99" w:name="_Toc3360"/>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bookmarkEnd w:id="99"/>
    </w:p>
    <w:p w14:paraId="25B25B32">
      <w:pPr>
        <w:autoSpaceDE/>
        <w:autoSpaceDN/>
        <w:adjustRightInd w:val="0"/>
        <w:snapToGrid w:val="0"/>
        <w:spacing w:before="0" w:line="400" w:lineRule="exact"/>
        <w:ind w:firstLine="0" w:firstLineChars="0"/>
        <w:jc w:val="left"/>
        <w:outlineLvl w:val="1"/>
        <w:rPr>
          <w:rFonts w:hint="eastAsia" w:ascii="宋体" w:hAnsi="宋体"/>
          <w:color w:val="auto"/>
          <w:szCs w:val="21"/>
          <w:highlight w:val="none"/>
        </w:rPr>
      </w:pPr>
      <w:r>
        <w:rPr>
          <w:rFonts w:hint="eastAsia" w:ascii="宋体" w:hAnsi="宋体"/>
          <w:color w:val="auto"/>
          <w:szCs w:val="21"/>
          <w:highlight w:val="none"/>
          <w:lang w:val="en-US" w:eastAsia="zh-CN"/>
        </w:rPr>
        <w:t xml:space="preserve">    </w:t>
      </w:r>
      <w:bookmarkStart w:id="100" w:name="_Toc20632"/>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bookmarkEnd w:id="100"/>
    </w:p>
    <w:p w14:paraId="0377681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21CD4710">
      <w:pPr>
        <w:adjustRightInd w:val="0"/>
        <w:snapToGrid w:val="0"/>
        <w:spacing w:before="0" w:line="400" w:lineRule="exact"/>
        <w:ind w:firstLine="420" w:firstLineChars="200"/>
        <w:jc w:val="left"/>
        <w:outlineLvl w:val="1"/>
        <w:rPr>
          <w:rFonts w:ascii="宋体" w:hAnsi="宋体"/>
          <w:color w:val="auto"/>
          <w:szCs w:val="21"/>
          <w:highlight w:val="none"/>
        </w:rPr>
      </w:pPr>
      <w:bookmarkStart w:id="101" w:name="_Toc12834"/>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bookmarkEnd w:id="101"/>
    </w:p>
    <w:p w14:paraId="111F635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5BAB7F49">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6EDBABB2">
      <w:pPr>
        <w:pStyle w:val="21"/>
        <w:jc w:val="both"/>
        <w:rPr>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w:t>
      </w:r>
      <w:r>
        <w:rPr>
          <w:rFonts w:hint="eastAsia" w:ascii="宋体" w:hAnsi="宋体" w:eastAsia="宋体" w:cs="宋体"/>
          <w:color w:val="auto"/>
          <w:sz w:val="21"/>
          <w:highlight w:val="none"/>
          <w:lang w:eastAsia="zh-CN"/>
        </w:rPr>
        <w:t>及时告知</w:t>
      </w:r>
      <w:r>
        <w:rPr>
          <w:rFonts w:hint="eastAsia" w:ascii="宋体" w:hAnsi="宋体" w:eastAsia="宋体" w:cs="宋体"/>
          <w:color w:val="auto"/>
          <w:sz w:val="21"/>
          <w:highlight w:val="none"/>
        </w:rPr>
        <w:t>甲方，致使</w:t>
      </w:r>
      <w:r>
        <w:rPr>
          <w:rFonts w:hint="eastAsia" w:ascii="宋体" w:hAnsi="宋体" w:eastAsia="宋体" w:cs="宋体"/>
          <w:color w:val="auto"/>
          <w:sz w:val="21"/>
          <w:highlight w:val="none"/>
          <w:lang w:eastAsia="zh-CN"/>
        </w:rPr>
        <w:t>合同</w:t>
      </w:r>
      <w:r>
        <w:rPr>
          <w:rFonts w:hint="eastAsia" w:ascii="宋体" w:hAnsi="宋体" w:eastAsia="宋体" w:cs="宋体"/>
          <w:color w:val="auto"/>
          <w:sz w:val="21"/>
          <w:highlight w:val="none"/>
        </w:rPr>
        <w:t>履行发生困难的，甲方可以中止合同履行并要求乙方承担由此给甲方造成的损失。</w:t>
      </w:r>
    </w:p>
    <w:p w14:paraId="419C0131">
      <w:pPr>
        <w:snapToGrid w:val="0"/>
        <w:spacing w:line="400" w:lineRule="exact"/>
        <w:ind w:firstLine="420" w:firstLineChars="200"/>
        <w:jc w:val="left"/>
        <w:rPr>
          <w:color w:val="auto"/>
          <w:sz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21ED6C55">
      <w:pPr>
        <w:adjustRightInd w:val="0"/>
        <w:snapToGrid w:val="0"/>
        <w:spacing w:before="0" w:line="400" w:lineRule="exact"/>
        <w:ind w:firstLine="420" w:firstLineChars="200"/>
        <w:jc w:val="left"/>
        <w:outlineLvl w:val="1"/>
        <w:rPr>
          <w:rFonts w:ascii="宋体" w:hAnsi="宋体"/>
          <w:color w:val="auto"/>
          <w:szCs w:val="21"/>
          <w:highlight w:val="none"/>
        </w:rPr>
      </w:pPr>
      <w:bookmarkStart w:id="102" w:name="_Toc163"/>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bookmarkEnd w:id="102"/>
    </w:p>
    <w:p w14:paraId="1D69178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6B48EC21">
      <w:pPr>
        <w:snapToGrid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color w:val="auto"/>
          <w:szCs w:val="21"/>
          <w:highlight w:val="none"/>
        </w:rPr>
        <w:t>并追究乙方的违约责</w:t>
      </w:r>
      <w:r>
        <w:rPr>
          <w:rFonts w:hint="eastAsia" w:ascii="宋体" w:hAnsi="宋体" w:cs="宋体"/>
          <w:color w:val="auto"/>
          <w:szCs w:val="21"/>
          <w:highlight w:val="none"/>
          <w:lang w:val="en-US" w:eastAsia="zh-CN"/>
        </w:rPr>
        <w:t>任</w:t>
      </w:r>
      <w:r>
        <w:rPr>
          <w:rFonts w:hint="eastAsia" w:ascii="宋体" w:hAnsi="宋体"/>
          <w:color w:val="auto"/>
          <w:szCs w:val="21"/>
          <w:highlight w:val="none"/>
        </w:rPr>
        <w:t>。</w:t>
      </w:r>
    </w:p>
    <w:p w14:paraId="66EB21AC">
      <w:pPr>
        <w:pStyle w:val="21"/>
        <w:ind w:firstLine="440" w:firstLineChars="200"/>
        <w:outlineLvl w:val="1"/>
        <w:rPr>
          <w:rFonts w:hint="eastAsia" w:ascii="宋体" w:hAnsi="宋体"/>
          <w:color w:val="auto"/>
          <w:szCs w:val="21"/>
          <w:highlight w:val="none"/>
          <w:lang w:val="en-US" w:eastAsia="zh-CN"/>
        </w:rPr>
      </w:pPr>
      <w:bookmarkStart w:id="103" w:name="_Toc5879"/>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bookmarkEnd w:id="103"/>
    </w:p>
    <w:p w14:paraId="6E1F6505">
      <w:pPr>
        <w:pStyle w:val="21"/>
        <w:jc w:val="both"/>
        <w:rPr>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w:t>
      </w:r>
      <w:r>
        <w:rPr>
          <w:rFonts w:hint="eastAsia" w:ascii="宋体" w:hAnsi="宋体" w:eastAsia="宋体" w:cs="宋体"/>
          <w:color w:val="auto"/>
          <w:sz w:val="21"/>
          <w:highlight w:val="none"/>
          <w:lang w:val="en-US" w:eastAsia="zh-CN"/>
        </w:rPr>
        <w:t>应当变更、</w:t>
      </w:r>
      <w:r>
        <w:rPr>
          <w:rFonts w:hint="eastAsia" w:ascii="宋体" w:hAnsi="宋体" w:eastAsia="宋体" w:cs="宋体"/>
          <w:color w:val="auto"/>
          <w:sz w:val="21"/>
          <w:highlight w:val="none"/>
        </w:rPr>
        <w:t>中止</w:t>
      </w:r>
      <w:r>
        <w:rPr>
          <w:rFonts w:hint="eastAsia" w:ascii="宋体" w:hAnsi="宋体" w:eastAsia="宋体" w:cs="宋体"/>
          <w:color w:val="auto"/>
          <w:sz w:val="21"/>
          <w:highlight w:val="none"/>
          <w:lang w:eastAsia="zh-CN"/>
        </w:rPr>
        <w:t>或者终止</w:t>
      </w:r>
      <w:r>
        <w:rPr>
          <w:rFonts w:hint="eastAsia" w:ascii="宋体" w:hAnsi="宋体" w:eastAsia="宋体" w:cs="宋体"/>
          <w:color w:val="auto"/>
          <w:sz w:val="21"/>
          <w:highlight w:val="none"/>
        </w:rPr>
        <w:t>合同。有过错的一方应当承担赔偿责任，双方都有过错的，各自承担相应的责任。</w:t>
      </w:r>
    </w:p>
    <w:p w14:paraId="7D82D2E4">
      <w:pPr>
        <w:autoSpaceDE w:val="0"/>
        <w:autoSpaceDN w:val="0"/>
        <w:adjustRightInd w:val="0"/>
        <w:snapToGrid w:val="0"/>
        <w:spacing w:before="0" w:line="400" w:lineRule="exact"/>
        <w:jc w:val="left"/>
        <w:outlineLvl w:val="0"/>
        <w:rPr>
          <w:rFonts w:ascii="宋体" w:hAnsi="宋体"/>
          <w:b/>
          <w:bCs/>
          <w:color w:val="auto"/>
          <w:sz w:val="24"/>
          <w:highlight w:val="none"/>
        </w:rPr>
      </w:pPr>
      <w:bookmarkStart w:id="104" w:name="_Toc31968"/>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bookmarkEnd w:id="104"/>
    </w:p>
    <w:p w14:paraId="71506F7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0298E16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51BBDA7A">
      <w:pPr>
        <w:autoSpaceDE w:val="0"/>
        <w:autoSpaceDN w:val="0"/>
        <w:adjustRightInd w:val="0"/>
        <w:snapToGrid w:val="0"/>
        <w:spacing w:before="0" w:line="400" w:lineRule="exact"/>
        <w:jc w:val="left"/>
        <w:outlineLvl w:val="0"/>
        <w:rPr>
          <w:rFonts w:ascii="宋体" w:hAnsi="宋体"/>
          <w:b/>
          <w:bCs/>
          <w:color w:val="auto"/>
          <w:sz w:val="24"/>
          <w:highlight w:val="none"/>
        </w:rPr>
      </w:pPr>
      <w:bookmarkStart w:id="105" w:name="_Toc1318"/>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bookmarkEnd w:id="105"/>
    </w:p>
    <w:p w14:paraId="5A55568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37504F5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16E5FCC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245CD622">
      <w:pPr>
        <w:autoSpaceDE w:val="0"/>
        <w:autoSpaceDN w:val="0"/>
        <w:adjustRightInd w:val="0"/>
        <w:snapToGrid w:val="0"/>
        <w:spacing w:before="0" w:line="400" w:lineRule="exact"/>
        <w:jc w:val="left"/>
        <w:outlineLvl w:val="0"/>
        <w:rPr>
          <w:rFonts w:hint="eastAsia" w:ascii="宋体" w:hAnsi="宋体"/>
          <w:b/>
          <w:bCs/>
          <w:color w:val="auto"/>
          <w:sz w:val="24"/>
          <w:highlight w:val="none"/>
        </w:rPr>
      </w:pPr>
      <w:bookmarkStart w:id="106" w:name="_Toc24645"/>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bookmarkEnd w:id="106"/>
    </w:p>
    <w:p w14:paraId="0690C96A">
      <w:pPr>
        <w:pStyle w:val="21"/>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.1 因本合同及合同有关事项发生的争议，由</w:t>
      </w:r>
      <w:r>
        <w:rPr>
          <w:rFonts w:hint="eastAsia" w:ascii="宋体" w:hAnsi="宋体" w:eastAsia="宋体" w:cs="宋体"/>
          <w:color w:val="auto"/>
          <w:sz w:val="21"/>
          <w:highlight w:val="none"/>
          <w:lang w:eastAsia="zh-CN"/>
        </w:rPr>
        <w:t>甲乙双</w:t>
      </w:r>
      <w:r>
        <w:rPr>
          <w:rFonts w:hint="eastAsia" w:ascii="宋体" w:hAnsi="宋体" w:eastAsia="宋体" w:cs="宋体"/>
          <w:color w:val="auto"/>
          <w:sz w:val="21"/>
          <w:highlight w:val="none"/>
        </w:rPr>
        <w:t>方友好协商解决。协商不成时，可以</w:t>
      </w:r>
      <w:r>
        <w:rPr>
          <w:rFonts w:hint="eastAsia" w:ascii="宋体" w:hAnsi="宋体" w:eastAsia="宋体" w:cs="宋体"/>
          <w:color w:val="auto"/>
          <w:sz w:val="21"/>
          <w:highlight w:val="none"/>
          <w:lang w:eastAsia="zh-CN"/>
        </w:rPr>
        <w:t>向有关组织申请</w:t>
      </w:r>
      <w:r>
        <w:rPr>
          <w:rFonts w:hint="eastAsia" w:ascii="宋体" w:hAnsi="宋体" w:eastAsia="宋体" w:cs="宋体"/>
          <w:color w:val="auto"/>
          <w:sz w:val="21"/>
          <w:highlight w:val="none"/>
        </w:rPr>
        <w:t>调解。合同一方或</w:t>
      </w:r>
      <w:r>
        <w:rPr>
          <w:rFonts w:hint="eastAsia" w:ascii="宋体" w:hAnsi="宋体" w:eastAsia="宋体" w:cs="宋体"/>
          <w:color w:val="auto"/>
          <w:sz w:val="21"/>
          <w:highlight w:val="none"/>
          <w:lang w:eastAsia="zh-CN"/>
        </w:rPr>
        <w:t>双</w:t>
      </w:r>
      <w:r>
        <w:rPr>
          <w:rFonts w:hint="eastAsia" w:ascii="宋体" w:hAnsi="宋体" w:eastAsia="宋体" w:cs="宋体"/>
          <w:color w:val="auto"/>
          <w:sz w:val="21"/>
          <w:highlight w:val="none"/>
        </w:rPr>
        <w:t>方不愿调解或调解不成的，可以通过仲裁或诉讼的方式解决争议。</w:t>
      </w:r>
    </w:p>
    <w:p w14:paraId="05BE14AD">
      <w:pPr>
        <w:pStyle w:val="21"/>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6F4907F8">
      <w:pPr>
        <w:pStyle w:val="21"/>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.3 如</w:t>
      </w:r>
      <w:r>
        <w:rPr>
          <w:rFonts w:hint="eastAsia" w:ascii="宋体" w:hAnsi="宋体" w:eastAsia="宋体" w:cs="宋体"/>
          <w:color w:val="auto"/>
          <w:sz w:val="21"/>
          <w:highlight w:val="none"/>
          <w:lang w:eastAsia="zh-CN"/>
        </w:rPr>
        <w:t>甲乙双方</w:t>
      </w:r>
      <w:r>
        <w:rPr>
          <w:rFonts w:hint="eastAsia" w:ascii="宋体" w:hAnsi="宋体" w:eastAsia="宋体" w:cs="宋体"/>
          <w:color w:val="auto"/>
          <w:sz w:val="21"/>
          <w:highlight w:val="none"/>
        </w:rPr>
        <w:t>有争议的事项不影响合同其他部分的履行，在争议解决期间，合同其他部分应</w:t>
      </w:r>
      <w:r>
        <w:rPr>
          <w:rFonts w:hint="eastAsia" w:ascii="宋体" w:hAnsi="宋体" w:eastAsia="宋体" w:cs="宋体"/>
          <w:color w:val="auto"/>
          <w:sz w:val="21"/>
          <w:highlight w:val="none"/>
          <w:lang w:eastAsia="zh-CN"/>
        </w:rPr>
        <w:t>当</w:t>
      </w:r>
      <w:r>
        <w:rPr>
          <w:rFonts w:hint="eastAsia" w:ascii="宋体" w:hAnsi="宋体" w:eastAsia="宋体" w:cs="宋体"/>
          <w:color w:val="auto"/>
          <w:sz w:val="21"/>
          <w:highlight w:val="none"/>
        </w:rPr>
        <w:t>继续履行。</w:t>
      </w:r>
    </w:p>
    <w:p w14:paraId="38343C46">
      <w:pPr>
        <w:autoSpaceDE w:val="0"/>
        <w:autoSpaceDN w:val="0"/>
        <w:adjustRightInd w:val="0"/>
        <w:snapToGrid w:val="0"/>
        <w:spacing w:before="0" w:line="400" w:lineRule="exact"/>
        <w:jc w:val="left"/>
        <w:outlineLvl w:val="0"/>
        <w:rPr>
          <w:rFonts w:ascii="宋体" w:hAnsi="宋体"/>
          <w:color w:val="auto"/>
          <w:sz w:val="24"/>
          <w:highlight w:val="none"/>
        </w:rPr>
      </w:pPr>
      <w:bookmarkStart w:id="107" w:name="_Toc19781"/>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bookmarkEnd w:id="107"/>
    </w:p>
    <w:p w14:paraId="7491BAC7">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color w:val="auto"/>
          <w:highlight w:val="none"/>
          <w:lang w:val="en-GB"/>
        </w:rPr>
        <w:t>本合同应当按照规定执行政府采购政策。</w:t>
      </w:r>
    </w:p>
    <w:p w14:paraId="5DDE5C6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color w:val="auto"/>
          <w:sz w:val="21"/>
          <w:highlight w:val="none"/>
          <w:lang w:eastAsia="zh-CN"/>
        </w:rPr>
        <w:t>甲乙双方</w:t>
      </w:r>
      <w:r>
        <w:rPr>
          <w:rFonts w:hint="eastAsia" w:ascii="宋体" w:hAnsi="宋体" w:eastAsia="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7A862168">
      <w:pPr>
        <w:pStyle w:val="6"/>
        <w:spacing w:after="0" w:line="400" w:lineRule="exact"/>
        <w:ind w:firstLine="42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F34304A">
      <w:pPr>
        <w:autoSpaceDE w:val="0"/>
        <w:autoSpaceDN w:val="0"/>
        <w:adjustRightInd w:val="0"/>
        <w:snapToGrid w:val="0"/>
        <w:spacing w:before="0" w:line="400" w:lineRule="exact"/>
        <w:jc w:val="left"/>
        <w:outlineLvl w:val="0"/>
        <w:rPr>
          <w:rFonts w:hint="eastAsia" w:ascii="宋体" w:hAnsi="宋体"/>
          <w:b/>
          <w:color w:val="auto"/>
          <w:sz w:val="24"/>
          <w:highlight w:val="none"/>
        </w:rPr>
      </w:pPr>
      <w:bookmarkStart w:id="108" w:name="_Toc15517"/>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bookmarkEnd w:id="108"/>
    </w:p>
    <w:p w14:paraId="155D6E6E">
      <w:pPr>
        <w:pStyle w:val="21"/>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.1 本合同的订立、生效、解释、履行及与本合同有关的争议解决，均适用法律、行政法规。</w:t>
      </w:r>
    </w:p>
    <w:p w14:paraId="5D24A867">
      <w:pPr>
        <w:pStyle w:val="21"/>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.2 本合同条款与法律、行政法规的强制性规定不一致的，双方当事人应按照法律、行政法规的强制性规定修改本合同的相关条款。</w:t>
      </w:r>
    </w:p>
    <w:p w14:paraId="3D31733A">
      <w:pPr>
        <w:numPr>
          <w:ilvl w:val="-1"/>
          <w:numId w:val="0"/>
        </w:numPr>
        <w:autoSpaceDE w:val="0"/>
        <w:autoSpaceDN w:val="0"/>
        <w:adjustRightInd w:val="0"/>
        <w:snapToGrid w:val="0"/>
        <w:spacing w:before="0" w:line="400" w:lineRule="exact"/>
        <w:ind w:left="0" w:leftChars="0" w:firstLine="0" w:firstLineChars="0"/>
        <w:jc w:val="left"/>
        <w:outlineLvl w:val="0"/>
        <w:rPr>
          <w:rFonts w:ascii="宋体" w:hAnsi="宋体"/>
          <w:b/>
          <w:color w:val="auto"/>
          <w:sz w:val="24"/>
          <w:highlight w:val="none"/>
        </w:rPr>
      </w:pPr>
      <w:bookmarkStart w:id="109" w:name="_Toc30525"/>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bookmarkEnd w:id="109"/>
    </w:p>
    <w:p w14:paraId="0D22F788">
      <w:pPr>
        <w:pStyle w:val="21"/>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本合同任何一方向对方发出的通知、信件、数据电文等，应当发送至本合同第一部分《政府采购合同协议书》所约定的通讯地址、联系人、联系电话或电子邮箱。</w:t>
      </w:r>
    </w:p>
    <w:p w14:paraId="519B4B3A">
      <w:pPr>
        <w:pStyle w:val="21"/>
        <w:ind w:firstLine="0" w:firstLineChars="0"/>
        <w:jc w:val="both"/>
        <w:rPr>
          <w:color w:val="auto"/>
          <w:sz w:val="21"/>
          <w:highlight w:val="none"/>
        </w:rPr>
      </w:pP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一方当事人变更名称、</w:t>
      </w:r>
      <w:r>
        <w:rPr>
          <w:rFonts w:hint="eastAsia" w:ascii="宋体" w:hAnsi="宋体" w:eastAsia="宋体" w:cs="宋体"/>
          <w:color w:val="auto"/>
          <w:sz w:val="21"/>
          <w:highlight w:val="none"/>
          <w:lang w:eastAsia="zh-CN"/>
        </w:rPr>
        <w:t>住所</w:t>
      </w:r>
      <w:r>
        <w:rPr>
          <w:rFonts w:hint="eastAsia" w:ascii="宋体" w:hAnsi="宋体" w:eastAsia="宋体" w:cs="宋体"/>
          <w:color w:val="auto"/>
          <w:sz w:val="21"/>
          <w:highlight w:val="none"/>
        </w:rPr>
        <w:t>、联系人、联系电话或电子邮箱</w:t>
      </w:r>
      <w:r>
        <w:rPr>
          <w:rFonts w:hint="eastAsia" w:ascii="宋体" w:hAnsi="宋体" w:eastAsia="宋体" w:cs="宋体"/>
          <w:color w:val="auto"/>
          <w:sz w:val="21"/>
          <w:highlight w:val="none"/>
          <w:lang w:eastAsia="zh-CN"/>
        </w:rPr>
        <w:t>等信息</w:t>
      </w:r>
      <w:r>
        <w:rPr>
          <w:rFonts w:hint="eastAsia" w:ascii="宋体" w:hAnsi="宋体" w:eastAsia="宋体" w:cs="宋体"/>
          <w:color w:val="auto"/>
          <w:sz w:val="21"/>
          <w:highlight w:val="none"/>
        </w:rPr>
        <w:t>的，应当在变更后3日内及时书面通知对方，对方实际收到变更通知前的送达仍为有效送达。</w:t>
      </w:r>
    </w:p>
    <w:p w14:paraId="6AF55CC2">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5AA80542">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3117EEE7">
      <w:pPr>
        <w:numPr>
          <w:ilvl w:val="0"/>
          <w:numId w:val="17"/>
        </w:numPr>
        <w:adjustRightInd w:val="0"/>
        <w:snapToGrid w:val="0"/>
        <w:spacing w:before="0" w:line="400" w:lineRule="exact"/>
        <w:jc w:val="left"/>
        <w:outlineLvl w:val="0"/>
        <w:rPr>
          <w:rFonts w:ascii="宋体" w:hAnsi="宋体"/>
          <w:b/>
          <w:bCs/>
          <w:color w:val="auto"/>
          <w:sz w:val="24"/>
          <w:highlight w:val="none"/>
        </w:rPr>
      </w:pPr>
      <w:bookmarkStart w:id="110" w:name="_Toc27214"/>
      <w:r>
        <w:rPr>
          <w:rFonts w:hint="eastAsia" w:ascii="宋体" w:hAnsi="宋体"/>
          <w:b/>
          <w:bCs/>
          <w:color w:val="auto"/>
          <w:sz w:val="24"/>
          <w:highlight w:val="none"/>
        </w:rPr>
        <w:t>合同未尽事项</w:t>
      </w:r>
      <w:bookmarkEnd w:id="110"/>
    </w:p>
    <w:p w14:paraId="4319249F">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2E1D6A3B">
      <w:pPr>
        <w:adjustRightInd w:val="0"/>
        <w:snapToGrid w:val="0"/>
        <w:spacing w:line="400" w:lineRule="exact"/>
        <w:ind w:firstLine="0" w:firstLineChars="0"/>
        <w:jc w:val="left"/>
        <w:rPr>
          <w:rFonts w:ascii="黑体" w:hAnsi="华文中宋" w:eastAsia="黑体"/>
          <w:color w:val="auto"/>
          <w:sz w:val="28"/>
          <w:szCs w:val="28"/>
          <w:highlight w:val="none"/>
        </w:rPr>
      </w:pPr>
      <w:r>
        <w:rPr>
          <w:rFonts w:hint="eastAsia" w:ascii="宋体" w:hAnsi="宋体"/>
          <w:bCs/>
          <w:color w:val="auto"/>
          <w:szCs w:val="21"/>
          <w:highlight w:val="none"/>
          <w:lang w:val="en-US" w:eastAsia="zh-CN"/>
        </w:rPr>
        <w:t xml:space="preserve">    23.2 合同附件与合同正文具有同等的法律效力。</w:t>
      </w:r>
      <w:bookmarkStart w:id="111" w:name="_Toc20313"/>
    </w:p>
    <w:p w14:paraId="4E9B2FDD">
      <w:pPr>
        <w:adjustRightInd w:val="0"/>
        <w:snapToGrid w:val="0"/>
        <w:jc w:val="center"/>
        <w:rPr>
          <w:rFonts w:hint="eastAsia"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br w:type="page"/>
      </w:r>
    </w:p>
    <w:p w14:paraId="644A8517">
      <w:pPr>
        <w:pStyle w:val="3"/>
        <w:adjustRightInd w:val="0"/>
        <w:snapToGrid w:val="0"/>
        <w:ind w:firstLine="567" w:firstLineChars="0"/>
        <w:jc w:val="center"/>
        <w:outlineLvl w:val="0"/>
        <w:rPr>
          <w:rFonts w:ascii="黑体" w:hAnsi="华文中宋" w:eastAsia="黑体"/>
          <w:b w:val="0"/>
          <w:bCs w:val="0"/>
          <w:color w:val="auto"/>
          <w:sz w:val="28"/>
          <w:szCs w:val="28"/>
          <w:highlight w:val="none"/>
        </w:rPr>
      </w:pPr>
      <w:bookmarkStart w:id="112" w:name="_Toc12667"/>
      <w:r>
        <w:rPr>
          <w:rFonts w:hint="eastAsia" w:ascii="黑体" w:hAnsi="华文中宋" w:eastAsia="黑体"/>
          <w:b w:val="0"/>
          <w:bCs w:val="0"/>
          <w:color w:val="auto"/>
          <w:sz w:val="28"/>
          <w:szCs w:val="28"/>
          <w:highlight w:val="none"/>
        </w:rPr>
        <w:t>第三节 政府采购合同专用条款</w:t>
      </w:r>
      <w:bookmarkEnd w:id="111"/>
      <w:bookmarkEnd w:id="112"/>
    </w:p>
    <w:tbl>
      <w:tblPr>
        <w:tblStyle w:val="1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2E4F26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9120F2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941192A">
            <w:pPr>
              <w:adjustRightInd w:val="0"/>
              <w:snapToGrid w:val="0"/>
              <w:jc w:val="center"/>
              <w:rPr>
                <w:rFonts w:ascii="宋体" w:hAnsi="宋体"/>
                <w:color w:val="auto"/>
                <w:szCs w:val="21"/>
                <w:highlight w:val="none"/>
              </w:rPr>
            </w:pPr>
            <w:r>
              <w:rPr>
                <w:rFonts w:hint="eastAsia" w:ascii="宋体" w:hAnsi="宋体"/>
                <w:color w:val="auto"/>
                <w:szCs w:val="21"/>
                <w:highlight w:val="none"/>
              </w:rPr>
              <w:t>第1.2（</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1742" w:type="dxa"/>
            <w:vAlign w:val="center"/>
          </w:tcPr>
          <w:p w14:paraId="31C1876A">
            <w:pPr>
              <w:adjustRightInd w:val="0"/>
              <w:snapToGrid w:val="0"/>
              <w:jc w:val="left"/>
              <w:rPr>
                <w:rFonts w:ascii="宋体" w:hAnsi="宋体"/>
                <w:color w:val="auto"/>
                <w:szCs w:val="21"/>
                <w:highlight w:val="none"/>
              </w:rPr>
            </w:pPr>
            <w:r>
              <w:rPr>
                <w:rFonts w:hint="eastAsia" w:ascii="宋体" w:hAnsi="宋体"/>
                <w:color w:val="auto"/>
                <w:szCs w:val="21"/>
                <w:highlight w:val="none"/>
                <w:lang w:eastAsia="zh-CN"/>
              </w:rPr>
              <w:t>联合体具体要求</w:t>
            </w:r>
          </w:p>
        </w:tc>
        <w:tc>
          <w:tcPr>
            <w:tcW w:w="5170" w:type="dxa"/>
            <w:vAlign w:val="center"/>
          </w:tcPr>
          <w:p w14:paraId="4AE09480">
            <w:pPr>
              <w:adjustRightInd w:val="0"/>
              <w:snapToGrid w:val="0"/>
              <w:jc w:val="left"/>
              <w:rPr>
                <w:rFonts w:ascii="宋体" w:hAnsi="宋体"/>
                <w:color w:val="auto"/>
                <w:szCs w:val="21"/>
                <w:highlight w:val="none"/>
              </w:rPr>
            </w:pPr>
          </w:p>
        </w:tc>
      </w:tr>
      <w:tr w14:paraId="022A1C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160DD72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667EC6C">
            <w:pPr>
              <w:adjustRightInd w:val="0"/>
              <w:snapToGrid w:val="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第1.2（</w:t>
            </w:r>
            <w:r>
              <w:rPr>
                <w:rFonts w:hint="eastAsia" w:ascii="宋体" w:hAnsi="宋体"/>
                <w:color w:val="auto"/>
                <w:szCs w:val="21"/>
                <w:highlight w:val="none"/>
                <w:lang w:val="en-US" w:eastAsia="zh-CN"/>
              </w:rPr>
              <w:t>7</w:t>
            </w:r>
            <w:r>
              <w:rPr>
                <w:rFonts w:hint="eastAsia" w:ascii="宋体" w:hAnsi="宋体"/>
                <w:color w:val="auto"/>
                <w:szCs w:val="21"/>
                <w:highlight w:val="none"/>
              </w:rPr>
              <w:t>）项</w:t>
            </w:r>
          </w:p>
        </w:tc>
        <w:tc>
          <w:tcPr>
            <w:tcW w:w="1742" w:type="dxa"/>
            <w:vAlign w:val="center"/>
          </w:tcPr>
          <w:p w14:paraId="4F8A1CD1">
            <w:pPr>
              <w:adjustRightInd w:val="0"/>
              <w:snapToGrid w:val="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其他术语解释</w:t>
            </w:r>
          </w:p>
        </w:tc>
        <w:tc>
          <w:tcPr>
            <w:tcW w:w="5170" w:type="dxa"/>
            <w:vAlign w:val="center"/>
          </w:tcPr>
          <w:p w14:paraId="2DEF3BC3">
            <w:pPr>
              <w:adjustRightInd w:val="0"/>
              <w:snapToGrid w:val="0"/>
              <w:jc w:val="left"/>
              <w:rPr>
                <w:rFonts w:ascii="宋体" w:hAnsi="宋体" w:eastAsia="宋体" w:cs="Times New Roman"/>
                <w:color w:val="auto"/>
                <w:kern w:val="2"/>
                <w:sz w:val="21"/>
                <w:szCs w:val="21"/>
                <w:highlight w:val="none"/>
                <w:lang w:val="en-US" w:eastAsia="zh-CN" w:bidi="ar-SA"/>
              </w:rPr>
            </w:pPr>
          </w:p>
        </w:tc>
      </w:tr>
      <w:tr w14:paraId="684694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8F5B0F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D8E7147">
            <w:pPr>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4.4款</w:t>
            </w:r>
          </w:p>
        </w:tc>
        <w:tc>
          <w:tcPr>
            <w:tcW w:w="1742" w:type="dxa"/>
            <w:vAlign w:val="center"/>
          </w:tcPr>
          <w:p w14:paraId="435B0FCD">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履约验收中甲方提出异议或作出说明的期限</w:t>
            </w:r>
          </w:p>
        </w:tc>
        <w:tc>
          <w:tcPr>
            <w:tcW w:w="5170" w:type="dxa"/>
            <w:vAlign w:val="center"/>
          </w:tcPr>
          <w:p w14:paraId="1FD7C2A9">
            <w:pPr>
              <w:adjustRightInd w:val="0"/>
              <w:snapToGrid w:val="0"/>
              <w:jc w:val="left"/>
              <w:rPr>
                <w:rFonts w:ascii="宋体" w:hAnsi="宋体" w:eastAsia="宋体" w:cs="Times New Roman"/>
                <w:color w:val="auto"/>
                <w:kern w:val="2"/>
                <w:sz w:val="21"/>
                <w:szCs w:val="21"/>
                <w:highlight w:val="none"/>
                <w:lang w:val="en-US" w:eastAsia="zh-CN" w:bidi="ar-SA"/>
              </w:rPr>
            </w:pPr>
          </w:p>
        </w:tc>
      </w:tr>
      <w:tr w14:paraId="0E2535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FDAD3D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E621E5E">
            <w:pPr>
              <w:adjustRightInd w:val="0"/>
              <w:snapToGrid w:val="0"/>
              <w:jc w:val="center"/>
              <w:rPr>
                <w:rFonts w:hint="eastAsia" w:ascii="宋体" w:hAnsi="宋体"/>
                <w:color w:val="auto"/>
                <w:szCs w:val="21"/>
                <w:highlight w:val="none"/>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4.6款</w:t>
            </w:r>
          </w:p>
        </w:tc>
        <w:tc>
          <w:tcPr>
            <w:tcW w:w="1742" w:type="dxa"/>
            <w:vAlign w:val="center"/>
          </w:tcPr>
          <w:p w14:paraId="245BA0D2">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约定甲方承担的其他义务和责任</w:t>
            </w:r>
          </w:p>
        </w:tc>
        <w:tc>
          <w:tcPr>
            <w:tcW w:w="5170" w:type="dxa"/>
            <w:vAlign w:val="center"/>
          </w:tcPr>
          <w:p w14:paraId="3698F039">
            <w:pPr>
              <w:adjustRightInd w:val="0"/>
              <w:snapToGrid w:val="0"/>
              <w:jc w:val="left"/>
              <w:rPr>
                <w:rFonts w:ascii="宋体" w:hAnsi="宋体" w:eastAsia="宋体" w:cs="Times New Roman"/>
                <w:color w:val="auto"/>
                <w:kern w:val="2"/>
                <w:sz w:val="21"/>
                <w:szCs w:val="21"/>
                <w:highlight w:val="none"/>
                <w:lang w:val="en-US" w:eastAsia="zh-CN" w:bidi="ar-SA"/>
              </w:rPr>
            </w:pPr>
          </w:p>
        </w:tc>
      </w:tr>
      <w:tr w14:paraId="76F0AA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5BC9D88">
            <w:pPr>
              <w:adjustRightInd w:val="0"/>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2A75204D">
            <w:pPr>
              <w:snapToGrid w:val="0"/>
              <w:jc w:val="center"/>
              <w:rPr>
                <w:rFonts w:hint="default"/>
                <w:color w:val="auto"/>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5.4款</w:t>
            </w:r>
          </w:p>
        </w:tc>
        <w:tc>
          <w:tcPr>
            <w:tcW w:w="1742" w:type="dxa"/>
            <w:vAlign w:val="center"/>
          </w:tcPr>
          <w:p w14:paraId="54636BA4">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约定乙方承担的其他义务和责任</w:t>
            </w:r>
          </w:p>
        </w:tc>
        <w:tc>
          <w:tcPr>
            <w:tcW w:w="5170" w:type="dxa"/>
            <w:vAlign w:val="center"/>
          </w:tcPr>
          <w:p w14:paraId="6F696767">
            <w:pPr>
              <w:adjustRightInd w:val="0"/>
              <w:snapToGrid w:val="0"/>
              <w:jc w:val="left"/>
              <w:rPr>
                <w:rFonts w:ascii="宋体" w:hAnsi="宋体" w:eastAsia="宋体" w:cs="Times New Roman"/>
                <w:color w:val="auto"/>
                <w:kern w:val="2"/>
                <w:sz w:val="21"/>
                <w:szCs w:val="21"/>
                <w:highlight w:val="none"/>
                <w:lang w:val="en-US" w:eastAsia="zh-CN" w:bidi="ar-SA"/>
              </w:rPr>
            </w:pPr>
          </w:p>
        </w:tc>
      </w:tr>
      <w:tr w14:paraId="7C0F57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F228DD2">
            <w:pPr>
              <w:adjustRightInd w:val="0"/>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2970C689">
            <w:pPr>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6.1款</w:t>
            </w:r>
          </w:p>
        </w:tc>
        <w:tc>
          <w:tcPr>
            <w:tcW w:w="1742" w:type="dxa"/>
            <w:vAlign w:val="center"/>
          </w:tcPr>
          <w:p w14:paraId="2294E457">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履行合同义务的顺序</w:t>
            </w:r>
          </w:p>
        </w:tc>
        <w:tc>
          <w:tcPr>
            <w:tcW w:w="5170" w:type="dxa"/>
            <w:vAlign w:val="center"/>
          </w:tcPr>
          <w:p w14:paraId="7D6DC1B1">
            <w:pPr>
              <w:adjustRightInd w:val="0"/>
              <w:snapToGrid w:val="0"/>
              <w:jc w:val="left"/>
              <w:rPr>
                <w:rFonts w:ascii="宋体" w:hAnsi="宋体" w:eastAsia="宋体" w:cs="Times New Roman"/>
                <w:color w:val="auto"/>
                <w:kern w:val="2"/>
                <w:sz w:val="21"/>
                <w:szCs w:val="21"/>
                <w:highlight w:val="none"/>
                <w:lang w:val="en-US" w:eastAsia="zh-CN" w:bidi="ar-SA"/>
              </w:rPr>
            </w:pPr>
          </w:p>
        </w:tc>
      </w:tr>
      <w:tr w14:paraId="163301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44399D7D">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EB64F4F">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.1</w:t>
            </w:r>
            <w:r>
              <w:rPr>
                <w:rFonts w:hint="eastAsia" w:ascii="宋体" w:hAnsi="宋体"/>
                <w:color w:val="auto"/>
                <w:szCs w:val="21"/>
                <w:highlight w:val="none"/>
                <w:lang w:val="en-US" w:eastAsia="zh-CN"/>
              </w:rPr>
              <w:t>款</w:t>
            </w:r>
          </w:p>
        </w:tc>
        <w:tc>
          <w:tcPr>
            <w:tcW w:w="1742" w:type="dxa"/>
            <w:vAlign w:val="center"/>
          </w:tcPr>
          <w:p w14:paraId="351E721B">
            <w:pPr>
              <w:adjustRightInd w:val="0"/>
              <w:snapToGrid w:val="0"/>
              <w:jc w:val="left"/>
              <w:rPr>
                <w:rFonts w:ascii="宋体" w:hAnsi="宋体"/>
                <w:color w:val="auto"/>
                <w:szCs w:val="21"/>
                <w:highlight w:val="none"/>
              </w:rPr>
            </w:pPr>
            <w:r>
              <w:rPr>
                <w:rFonts w:hint="eastAsia" w:ascii="宋体" w:hAnsi="宋体"/>
                <w:color w:val="auto"/>
                <w:szCs w:val="21"/>
                <w:highlight w:val="none"/>
              </w:rPr>
              <w:t>包装</w:t>
            </w:r>
            <w:r>
              <w:rPr>
                <w:rFonts w:hint="eastAsia" w:ascii="宋体" w:hAnsi="宋体"/>
                <w:color w:val="auto"/>
                <w:szCs w:val="21"/>
                <w:highlight w:val="none"/>
                <w:lang w:eastAsia="zh-CN"/>
              </w:rPr>
              <w:t>特殊要求</w:t>
            </w:r>
          </w:p>
        </w:tc>
        <w:tc>
          <w:tcPr>
            <w:tcW w:w="5170" w:type="dxa"/>
            <w:vAlign w:val="center"/>
          </w:tcPr>
          <w:p w14:paraId="3EC544D8">
            <w:pPr>
              <w:rPr>
                <w:color w:val="auto"/>
                <w:highlight w:val="none"/>
              </w:rPr>
            </w:pPr>
          </w:p>
        </w:tc>
      </w:tr>
      <w:tr w14:paraId="4A1CAA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DCCFDB3">
            <w:pPr>
              <w:adjustRightInd w:val="0"/>
              <w:snapToGrid w:val="0"/>
              <w:jc w:val="center"/>
              <w:rPr>
                <w:rFonts w:hint="eastAsia" w:ascii="宋体" w:hAnsi="宋体"/>
                <w:color w:val="auto"/>
                <w:szCs w:val="21"/>
                <w:highlight w:val="none"/>
              </w:rPr>
            </w:pPr>
          </w:p>
        </w:tc>
        <w:tc>
          <w:tcPr>
            <w:tcW w:w="1742" w:type="dxa"/>
            <w:vAlign w:val="center"/>
          </w:tcPr>
          <w:p w14:paraId="5C79AF92">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指定现场</w:t>
            </w:r>
          </w:p>
        </w:tc>
        <w:tc>
          <w:tcPr>
            <w:tcW w:w="5170" w:type="dxa"/>
            <w:vAlign w:val="center"/>
          </w:tcPr>
          <w:p w14:paraId="5FBC5493">
            <w:pPr>
              <w:rPr>
                <w:rFonts w:hint="eastAsia"/>
                <w:color w:val="auto"/>
                <w:highlight w:val="none"/>
              </w:rPr>
            </w:pPr>
          </w:p>
        </w:tc>
      </w:tr>
      <w:tr w14:paraId="4FCD55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18CC4F9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0C0D7F0">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1742" w:type="dxa"/>
            <w:vAlign w:val="center"/>
          </w:tcPr>
          <w:p w14:paraId="409D8C0C">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运输特殊要求</w:t>
            </w:r>
          </w:p>
        </w:tc>
        <w:tc>
          <w:tcPr>
            <w:tcW w:w="5170" w:type="dxa"/>
            <w:vAlign w:val="center"/>
          </w:tcPr>
          <w:p w14:paraId="0E2954E0">
            <w:pPr>
              <w:rPr>
                <w:rFonts w:hint="eastAsia"/>
                <w:color w:val="auto"/>
                <w:highlight w:val="none"/>
              </w:rPr>
            </w:pPr>
          </w:p>
        </w:tc>
      </w:tr>
      <w:tr w14:paraId="28E664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B296E8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E501C35">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.3</w:t>
            </w:r>
            <w:r>
              <w:rPr>
                <w:rFonts w:hint="eastAsia" w:ascii="宋体" w:hAnsi="宋体"/>
                <w:color w:val="auto"/>
                <w:szCs w:val="21"/>
                <w:highlight w:val="none"/>
                <w:lang w:val="en-US" w:eastAsia="zh-CN"/>
              </w:rPr>
              <w:t>款</w:t>
            </w:r>
          </w:p>
        </w:tc>
        <w:tc>
          <w:tcPr>
            <w:tcW w:w="1742" w:type="dxa"/>
            <w:vAlign w:val="center"/>
          </w:tcPr>
          <w:p w14:paraId="4FB88335">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保险要求</w:t>
            </w:r>
          </w:p>
        </w:tc>
        <w:tc>
          <w:tcPr>
            <w:tcW w:w="5170" w:type="dxa"/>
            <w:vAlign w:val="center"/>
          </w:tcPr>
          <w:p w14:paraId="3255D247">
            <w:pPr>
              <w:rPr>
                <w:rFonts w:hint="eastAsia"/>
                <w:color w:val="auto"/>
                <w:highlight w:val="none"/>
              </w:rPr>
            </w:pPr>
          </w:p>
        </w:tc>
      </w:tr>
      <w:tr w14:paraId="48BC1D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C66A04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EF0DAA5">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.2（1）项</w:t>
            </w:r>
          </w:p>
        </w:tc>
        <w:tc>
          <w:tcPr>
            <w:tcW w:w="1742" w:type="dxa"/>
            <w:vAlign w:val="center"/>
          </w:tcPr>
          <w:p w14:paraId="7F2FF9FC">
            <w:pPr>
              <w:adjustRightInd w:val="0"/>
              <w:snapToGrid w:val="0"/>
              <w:jc w:val="left"/>
              <w:rPr>
                <w:rFonts w:ascii="宋体" w:hAnsi="宋体"/>
                <w:color w:val="auto"/>
                <w:szCs w:val="21"/>
                <w:highlight w:val="none"/>
              </w:rPr>
            </w:pPr>
            <w:r>
              <w:rPr>
                <w:rFonts w:hint="eastAsia" w:ascii="宋体" w:hAnsi="宋体"/>
                <w:color w:val="auto"/>
                <w:szCs w:val="21"/>
                <w:highlight w:val="none"/>
              </w:rPr>
              <w:t>质量保证期</w:t>
            </w:r>
          </w:p>
        </w:tc>
        <w:tc>
          <w:tcPr>
            <w:tcW w:w="5170" w:type="dxa"/>
            <w:vAlign w:val="center"/>
          </w:tcPr>
          <w:p w14:paraId="785C7AE9">
            <w:pPr>
              <w:autoSpaceDE w:val="0"/>
              <w:autoSpaceDN w:val="0"/>
              <w:adjustRightInd w:val="0"/>
              <w:snapToGrid w:val="0"/>
              <w:ind w:firstLine="420" w:firstLineChars="200"/>
              <w:jc w:val="left"/>
              <w:rPr>
                <w:rFonts w:ascii="宋体" w:hAnsi="宋体"/>
                <w:color w:val="auto"/>
                <w:szCs w:val="21"/>
                <w:highlight w:val="none"/>
              </w:rPr>
            </w:pPr>
          </w:p>
        </w:tc>
      </w:tr>
      <w:tr w14:paraId="56604A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4014A2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17FF2A5">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.2（3）项</w:t>
            </w:r>
          </w:p>
        </w:tc>
        <w:tc>
          <w:tcPr>
            <w:tcW w:w="1742" w:type="dxa"/>
            <w:vAlign w:val="center"/>
          </w:tcPr>
          <w:p w14:paraId="20E3DBDE">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货物质量缺陷</w:t>
            </w:r>
          </w:p>
          <w:p w14:paraId="6AC685A2">
            <w:pPr>
              <w:adjustRightInd w:val="0"/>
              <w:snapToGrid w:val="0"/>
              <w:jc w:val="left"/>
              <w:rPr>
                <w:rFonts w:ascii="宋体" w:hAnsi="宋体"/>
                <w:color w:val="auto"/>
                <w:szCs w:val="21"/>
                <w:highlight w:val="none"/>
              </w:rPr>
            </w:pPr>
            <w:r>
              <w:rPr>
                <w:rFonts w:hint="eastAsia" w:ascii="宋体" w:hAnsi="宋体"/>
                <w:color w:val="auto"/>
                <w:szCs w:val="21"/>
                <w:highlight w:val="none"/>
              </w:rPr>
              <w:t>响应时间</w:t>
            </w:r>
          </w:p>
        </w:tc>
        <w:tc>
          <w:tcPr>
            <w:tcW w:w="5170" w:type="dxa"/>
            <w:vAlign w:val="center"/>
          </w:tcPr>
          <w:p w14:paraId="3F7ACC7D">
            <w:pPr>
              <w:adjustRightInd w:val="0"/>
              <w:snapToGrid w:val="0"/>
              <w:jc w:val="left"/>
              <w:rPr>
                <w:rFonts w:ascii="宋体" w:hAnsi="宋体"/>
                <w:color w:val="auto"/>
                <w:szCs w:val="21"/>
                <w:highlight w:val="none"/>
              </w:rPr>
            </w:pPr>
          </w:p>
        </w:tc>
      </w:tr>
      <w:tr w14:paraId="323A89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A6D2251">
            <w:pPr>
              <w:snapToGrid w:val="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第二节</w:t>
            </w:r>
          </w:p>
          <w:p w14:paraId="29D4F4C4">
            <w:pPr>
              <w:pStyle w:val="21"/>
              <w:ind w:firstLine="0" w:firstLineChars="0"/>
              <w:jc w:val="center"/>
              <w:rPr>
                <w:rFonts w:hint="default"/>
                <w:color w:val="auto"/>
                <w:highlight w:val="none"/>
                <w:lang w:val="en-US" w:eastAsia="zh-CN"/>
              </w:rPr>
            </w:pPr>
            <w:r>
              <w:rPr>
                <w:rFonts w:hint="eastAsia" w:ascii="宋体" w:hAnsi="宋体" w:eastAsia="宋体" w:cs="宋体"/>
                <w:color w:val="auto"/>
                <w:szCs w:val="21"/>
                <w:highlight w:val="none"/>
                <w:lang w:val="en-US" w:eastAsia="zh-CN"/>
              </w:rPr>
              <w:t>第11.1款</w:t>
            </w:r>
          </w:p>
        </w:tc>
        <w:tc>
          <w:tcPr>
            <w:tcW w:w="1742" w:type="dxa"/>
            <w:vAlign w:val="center"/>
          </w:tcPr>
          <w:p w14:paraId="400E10BF">
            <w:pPr>
              <w:adjustRightInd w:val="0"/>
              <w:snapToGrid w:val="0"/>
              <w:jc w:val="both"/>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其他应当保密的信息</w:t>
            </w:r>
          </w:p>
        </w:tc>
        <w:tc>
          <w:tcPr>
            <w:tcW w:w="5170" w:type="dxa"/>
            <w:vAlign w:val="center"/>
          </w:tcPr>
          <w:p w14:paraId="6987F423">
            <w:pPr>
              <w:adjustRightInd w:val="0"/>
              <w:snapToGrid w:val="0"/>
              <w:jc w:val="left"/>
              <w:rPr>
                <w:rFonts w:ascii="宋体" w:hAnsi="宋体"/>
                <w:color w:val="auto"/>
                <w:szCs w:val="21"/>
                <w:highlight w:val="none"/>
              </w:rPr>
            </w:pPr>
          </w:p>
        </w:tc>
      </w:tr>
      <w:tr w14:paraId="1C5455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34A98C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CB3EA31">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2</w:t>
            </w:r>
            <w:r>
              <w:rPr>
                <w:rFonts w:hint="eastAsia" w:ascii="宋体" w:hAnsi="宋体"/>
                <w:color w:val="auto"/>
                <w:szCs w:val="21"/>
                <w:highlight w:val="none"/>
              </w:rPr>
              <w:t>.2款</w:t>
            </w:r>
          </w:p>
        </w:tc>
        <w:tc>
          <w:tcPr>
            <w:tcW w:w="1742" w:type="dxa"/>
            <w:vAlign w:val="center"/>
          </w:tcPr>
          <w:p w14:paraId="63018439">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rPr>
              <w:t>合同价款支付</w:t>
            </w:r>
            <w:r>
              <w:rPr>
                <w:rFonts w:hint="eastAsia" w:ascii="宋体" w:hAnsi="宋体"/>
                <w:color w:val="auto"/>
                <w:szCs w:val="21"/>
                <w:highlight w:val="none"/>
                <w:lang w:eastAsia="zh-CN"/>
              </w:rPr>
              <w:t>时间</w:t>
            </w:r>
          </w:p>
        </w:tc>
        <w:tc>
          <w:tcPr>
            <w:tcW w:w="5170" w:type="dxa"/>
            <w:vAlign w:val="center"/>
          </w:tcPr>
          <w:p w14:paraId="14AD36E9">
            <w:pPr>
              <w:adjustRightInd w:val="0"/>
              <w:snapToGrid w:val="0"/>
              <w:jc w:val="left"/>
              <w:rPr>
                <w:rFonts w:ascii="宋体" w:hAnsi="宋体"/>
                <w:color w:val="auto"/>
                <w:szCs w:val="21"/>
                <w:highlight w:val="none"/>
              </w:rPr>
            </w:pPr>
          </w:p>
        </w:tc>
      </w:tr>
      <w:tr w14:paraId="0AF0E3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334D6F5">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783F3DF9">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13.2</w:t>
            </w:r>
            <w:r>
              <w:rPr>
                <w:rFonts w:hint="eastAsia" w:ascii="宋体" w:hAnsi="宋体"/>
                <w:color w:val="auto"/>
                <w:szCs w:val="21"/>
                <w:highlight w:val="none"/>
              </w:rPr>
              <w:t>款</w:t>
            </w:r>
          </w:p>
        </w:tc>
        <w:tc>
          <w:tcPr>
            <w:tcW w:w="1742" w:type="dxa"/>
            <w:vAlign w:val="center"/>
          </w:tcPr>
          <w:p w14:paraId="50ADDC91">
            <w:pP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履约保证金不予退还的情形</w:t>
            </w:r>
          </w:p>
        </w:tc>
        <w:tc>
          <w:tcPr>
            <w:tcW w:w="5170" w:type="dxa"/>
            <w:vAlign w:val="center"/>
          </w:tcPr>
          <w:p w14:paraId="226F6BC9">
            <w:pPr>
              <w:adjustRightInd w:val="0"/>
              <w:snapToGrid w:val="0"/>
              <w:jc w:val="left"/>
              <w:rPr>
                <w:rFonts w:ascii="宋体" w:hAnsi="宋体"/>
                <w:color w:val="auto"/>
                <w:szCs w:val="21"/>
                <w:highlight w:val="none"/>
              </w:rPr>
            </w:pPr>
          </w:p>
        </w:tc>
      </w:tr>
      <w:tr w14:paraId="58BFE1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0A021B">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0D05BCBE">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13.3</w:t>
            </w:r>
            <w:r>
              <w:rPr>
                <w:rFonts w:hint="eastAsia" w:ascii="宋体" w:hAnsi="宋体"/>
                <w:color w:val="auto"/>
                <w:szCs w:val="21"/>
                <w:highlight w:val="none"/>
              </w:rPr>
              <w:t>款</w:t>
            </w:r>
          </w:p>
        </w:tc>
        <w:tc>
          <w:tcPr>
            <w:tcW w:w="1742" w:type="dxa"/>
            <w:vAlign w:val="center"/>
          </w:tcPr>
          <w:p w14:paraId="766C909B">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履约保证金退还时间及</w:t>
            </w:r>
            <w:r>
              <w:rPr>
                <w:rFonts w:hint="eastAsia" w:ascii="宋体" w:hAnsi="宋体"/>
                <w:color w:val="auto"/>
                <w:szCs w:val="21"/>
                <w:highlight w:val="none"/>
                <w:lang w:eastAsia="zh-CN"/>
              </w:rPr>
              <w:t>逾期退还的</w:t>
            </w:r>
            <w:r>
              <w:rPr>
                <w:rFonts w:hint="eastAsia" w:ascii="宋体" w:hAnsi="宋体"/>
                <w:color w:val="auto"/>
                <w:szCs w:val="21"/>
                <w:highlight w:val="none"/>
              </w:rPr>
              <w:t>违约金</w:t>
            </w:r>
          </w:p>
        </w:tc>
        <w:tc>
          <w:tcPr>
            <w:tcW w:w="5170" w:type="dxa"/>
            <w:vAlign w:val="center"/>
          </w:tcPr>
          <w:p w14:paraId="03E8AA59">
            <w:pPr>
              <w:adjustRightInd w:val="0"/>
              <w:snapToGrid w:val="0"/>
              <w:jc w:val="left"/>
              <w:rPr>
                <w:rFonts w:ascii="宋体" w:hAnsi="宋体"/>
                <w:color w:val="auto"/>
                <w:szCs w:val="21"/>
                <w:highlight w:val="none"/>
              </w:rPr>
            </w:pPr>
          </w:p>
        </w:tc>
      </w:tr>
      <w:tr w14:paraId="4A07FC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E99B22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49906CB">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）项</w:t>
            </w:r>
          </w:p>
        </w:tc>
        <w:tc>
          <w:tcPr>
            <w:tcW w:w="1742" w:type="dxa"/>
            <w:vAlign w:val="center"/>
          </w:tcPr>
          <w:p w14:paraId="213E8EFC">
            <w:pPr>
              <w:adjustRightInd w:val="0"/>
              <w:snapToGrid w:val="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运行监督、维修期限</w:t>
            </w:r>
          </w:p>
        </w:tc>
        <w:tc>
          <w:tcPr>
            <w:tcW w:w="5170" w:type="dxa"/>
            <w:vAlign w:val="center"/>
          </w:tcPr>
          <w:p w14:paraId="5EB9DBA4">
            <w:pPr>
              <w:adjustRightInd w:val="0"/>
              <w:snapToGrid w:val="0"/>
              <w:jc w:val="left"/>
              <w:rPr>
                <w:rFonts w:ascii="宋体" w:hAnsi="宋体"/>
                <w:color w:val="auto"/>
                <w:szCs w:val="21"/>
                <w:highlight w:val="none"/>
              </w:rPr>
            </w:pPr>
          </w:p>
        </w:tc>
      </w:tr>
      <w:tr w14:paraId="23D182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B2CF250">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9221AFF">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）项</w:t>
            </w:r>
          </w:p>
        </w:tc>
        <w:tc>
          <w:tcPr>
            <w:tcW w:w="1742" w:type="dxa"/>
            <w:vAlign w:val="center"/>
          </w:tcPr>
          <w:p w14:paraId="1C31E209">
            <w:pP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货物回收的约定</w:t>
            </w:r>
          </w:p>
        </w:tc>
        <w:tc>
          <w:tcPr>
            <w:tcW w:w="5170" w:type="dxa"/>
            <w:vAlign w:val="center"/>
          </w:tcPr>
          <w:p w14:paraId="07D07271">
            <w:pPr>
              <w:adjustRightInd w:val="0"/>
              <w:snapToGrid w:val="0"/>
              <w:jc w:val="left"/>
              <w:rPr>
                <w:rFonts w:ascii="宋体" w:hAnsi="宋体"/>
                <w:color w:val="auto"/>
                <w:szCs w:val="21"/>
                <w:highlight w:val="none"/>
              </w:rPr>
            </w:pPr>
          </w:p>
        </w:tc>
      </w:tr>
      <w:tr w14:paraId="5FFF5D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DB20AB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A8FAC9A">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1742" w:type="dxa"/>
            <w:vAlign w:val="center"/>
          </w:tcPr>
          <w:p w14:paraId="3FFF86F4">
            <w:pPr>
              <w:adjustRightInd w:val="0"/>
              <w:snapToGrid w:val="0"/>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5170" w:type="dxa"/>
            <w:vAlign w:val="center"/>
          </w:tcPr>
          <w:p w14:paraId="356369AF">
            <w:pPr>
              <w:adjustRightInd w:val="0"/>
              <w:snapToGrid w:val="0"/>
              <w:jc w:val="left"/>
              <w:rPr>
                <w:rFonts w:ascii="宋体" w:hAnsi="宋体"/>
                <w:color w:val="auto"/>
                <w:szCs w:val="21"/>
                <w:highlight w:val="none"/>
              </w:rPr>
            </w:pPr>
          </w:p>
        </w:tc>
      </w:tr>
      <w:tr w14:paraId="25BC1A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EAEA33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D9240E7">
            <w:pPr>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1款</w:t>
            </w:r>
          </w:p>
        </w:tc>
        <w:tc>
          <w:tcPr>
            <w:tcW w:w="1742" w:type="dxa"/>
            <w:vAlign w:val="center"/>
          </w:tcPr>
          <w:p w14:paraId="67CEDE77">
            <w:pPr>
              <w:adjustRightInd w:val="0"/>
              <w:snapToGrid w:val="0"/>
              <w:jc w:val="left"/>
              <w:rPr>
                <w:rFonts w:hint="eastAsia" w:ascii="宋体" w:hAnsi="宋体"/>
                <w:color w:val="auto"/>
                <w:szCs w:val="21"/>
                <w:highlight w:val="none"/>
              </w:rPr>
            </w:pPr>
            <w:r>
              <w:rPr>
                <w:rFonts w:hint="eastAsia" w:ascii="宋体" w:hAnsi="宋体"/>
                <w:color w:val="auto"/>
                <w:szCs w:val="21"/>
                <w:highlight w:val="none"/>
                <w:lang w:eastAsia="zh-CN"/>
              </w:rPr>
              <w:t>修理、重作、更换相关具体规定</w:t>
            </w:r>
          </w:p>
        </w:tc>
        <w:tc>
          <w:tcPr>
            <w:tcW w:w="5170" w:type="dxa"/>
            <w:vAlign w:val="center"/>
          </w:tcPr>
          <w:p w14:paraId="6D284244">
            <w:pPr>
              <w:adjustRightInd w:val="0"/>
              <w:snapToGrid w:val="0"/>
              <w:jc w:val="left"/>
              <w:rPr>
                <w:rFonts w:ascii="宋体" w:hAnsi="宋体"/>
                <w:color w:val="auto"/>
                <w:szCs w:val="21"/>
                <w:highlight w:val="none"/>
              </w:rPr>
            </w:pPr>
          </w:p>
        </w:tc>
      </w:tr>
      <w:tr w14:paraId="40E6DA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23CCF8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E9FD81F">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.2（2）项</w:t>
            </w:r>
          </w:p>
        </w:tc>
        <w:tc>
          <w:tcPr>
            <w:tcW w:w="1742" w:type="dxa"/>
            <w:vAlign w:val="center"/>
          </w:tcPr>
          <w:p w14:paraId="4F8E85A9">
            <w:pPr>
              <w:adjustRightInd w:val="0"/>
              <w:snapToGrid w:val="0"/>
              <w:jc w:val="left"/>
              <w:rPr>
                <w:rFonts w:ascii="宋体" w:hAnsi="宋体"/>
                <w:color w:val="auto"/>
                <w:szCs w:val="21"/>
                <w:highlight w:val="none"/>
              </w:rPr>
            </w:pPr>
            <w:r>
              <w:rPr>
                <w:rFonts w:hint="eastAsia" w:ascii="宋体" w:hAnsi="宋体"/>
                <w:color w:val="auto"/>
                <w:szCs w:val="21"/>
                <w:highlight w:val="none"/>
              </w:rPr>
              <w:t>迟延交货赔偿费</w:t>
            </w:r>
          </w:p>
        </w:tc>
        <w:tc>
          <w:tcPr>
            <w:tcW w:w="5170" w:type="dxa"/>
            <w:vAlign w:val="center"/>
          </w:tcPr>
          <w:p w14:paraId="401320B2">
            <w:pPr>
              <w:adjustRightInd w:val="0"/>
              <w:snapToGrid w:val="0"/>
              <w:jc w:val="left"/>
              <w:rPr>
                <w:rFonts w:ascii="宋体" w:hAnsi="宋体"/>
                <w:color w:val="auto"/>
                <w:szCs w:val="21"/>
                <w:highlight w:val="none"/>
                <w:u w:val="single"/>
              </w:rPr>
            </w:pPr>
          </w:p>
        </w:tc>
      </w:tr>
      <w:tr w14:paraId="3C2C10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E56F9E6">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538A608">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3款</w:t>
            </w:r>
          </w:p>
        </w:tc>
        <w:tc>
          <w:tcPr>
            <w:tcW w:w="1742" w:type="dxa"/>
            <w:vAlign w:val="center"/>
          </w:tcPr>
          <w:p w14:paraId="07CD8162">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逾期付款利息</w:t>
            </w:r>
          </w:p>
        </w:tc>
        <w:tc>
          <w:tcPr>
            <w:tcW w:w="5170" w:type="dxa"/>
            <w:vAlign w:val="center"/>
          </w:tcPr>
          <w:p w14:paraId="15C8EF2C">
            <w:pPr>
              <w:adjustRightInd w:val="0"/>
              <w:snapToGrid w:val="0"/>
              <w:jc w:val="left"/>
              <w:rPr>
                <w:rFonts w:ascii="宋体" w:hAnsi="宋体"/>
                <w:color w:val="auto"/>
                <w:szCs w:val="21"/>
                <w:highlight w:val="none"/>
                <w:u w:val="single"/>
              </w:rPr>
            </w:pPr>
          </w:p>
        </w:tc>
      </w:tr>
      <w:tr w14:paraId="253E7F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550F409">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A77929D">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.4</w:t>
            </w:r>
            <w:r>
              <w:rPr>
                <w:rFonts w:hint="eastAsia" w:ascii="宋体" w:hAnsi="宋体"/>
                <w:color w:val="auto"/>
                <w:szCs w:val="21"/>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12DE5184">
            <w:pPr>
              <w:adjustRightInd w:val="0"/>
              <w:snapToGrid w:val="0"/>
              <w:jc w:val="left"/>
              <w:rPr>
                <w:rFonts w:ascii="宋体" w:hAnsi="宋体"/>
                <w:color w:val="auto"/>
                <w:szCs w:val="21"/>
                <w:highlight w:val="none"/>
              </w:rPr>
            </w:pPr>
            <w:r>
              <w:rPr>
                <w:rFonts w:hint="eastAsia" w:ascii="宋体" w:hAnsi="宋体"/>
                <w:color w:val="auto"/>
                <w:szCs w:val="21"/>
                <w:highlight w:val="none"/>
              </w:rPr>
              <w:t>其他违约责任</w:t>
            </w:r>
          </w:p>
        </w:tc>
        <w:tc>
          <w:tcPr>
            <w:tcW w:w="5170" w:type="dxa"/>
            <w:tcBorders>
              <w:left w:val="single" w:color="auto" w:sz="2" w:space="0"/>
              <w:bottom w:val="single" w:color="auto" w:sz="2" w:space="0"/>
            </w:tcBorders>
            <w:vAlign w:val="center"/>
          </w:tcPr>
          <w:p w14:paraId="2F09EC1E">
            <w:pPr>
              <w:adjustRightInd w:val="0"/>
              <w:snapToGrid w:val="0"/>
              <w:jc w:val="left"/>
              <w:rPr>
                <w:rFonts w:ascii="宋体" w:hAnsi="宋体"/>
                <w:color w:val="auto"/>
                <w:szCs w:val="21"/>
                <w:highlight w:val="none"/>
                <w:u w:val="single"/>
              </w:rPr>
            </w:pPr>
          </w:p>
        </w:tc>
      </w:tr>
      <w:tr w14:paraId="199B24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E6AA1E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D46BCF4">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19</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1E3E54A6">
            <w:pPr>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解决争议的方法</w:t>
            </w:r>
          </w:p>
        </w:tc>
        <w:tc>
          <w:tcPr>
            <w:tcW w:w="5170" w:type="dxa"/>
            <w:tcBorders>
              <w:top w:val="single" w:color="auto" w:sz="2" w:space="0"/>
              <w:left w:val="single" w:color="auto" w:sz="2" w:space="0"/>
            </w:tcBorders>
            <w:vAlign w:val="center"/>
          </w:tcPr>
          <w:p w14:paraId="66CEAFCB">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因本合同及合同有关事项发生的争议，按下列第</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种方式解决：</w:t>
            </w:r>
          </w:p>
          <w:p w14:paraId="71B76BA6">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（1）向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仲裁委员会申请仲裁，仲裁地点为</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w:t>
            </w:r>
          </w:p>
          <w:p w14:paraId="14BFAB77">
            <w:pPr>
              <w:adjustRightInd w:val="0"/>
              <w:snapToGrid w:val="0"/>
              <w:ind w:firstLine="0" w:firstLineChars="0"/>
              <w:jc w:val="left"/>
              <w:rPr>
                <w:rFonts w:ascii="宋体" w:hAnsi="宋体"/>
                <w:color w:val="auto"/>
                <w:szCs w:val="21"/>
                <w:highlight w:val="none"/>
                <w:u w:val="single"/>
              </w:rPr>
            </w:pPr>
            <w:r>
              <w:rPr>
                <w:rFonts w:hint="eastAsia" w:ascii="宋体" w:hAnsi="宋体" w:eastAsia="宋体" w:cs="宋体"/>
                <w:b w:val="0"/>
                <w:bCs w:val="0"/>
                <w:iCs/>
                <w:color w:val="auto"/>
                <w:szCs w:val="21"/>
                <w:highlight w:val="none"/>
              </w:rPr>
              <w:t>（2）向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人民法院起诉。</w:t>
            </w:r>
          </w:p>
        </w:tc>
      </w:tr>
      <w:tr w14:paraId="396AFF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000A286">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3027362">
            <w:pPr>
              <w:adjustRightInd w:val="0"/>
              <w:snapToGrid w:val="0"/>
              <w:jc w:val="center"/>
              <w:rPr>
                <w:rFonts w:ascii="宋体" w:hAnsi="宋体"/>
                <w:color w:val="auto"/>
                <w:szCs w:val="21"/>
                <w:highlight w:val="none"/>
              </w:rPr>
            </w:pPr>
            <w:r>
              <w:rPr>
                <w:rFonts w:hint="eastAsia" w:ascii="宋体" w:hAnsi="宋体"/>
                <w:color w:val="auto"/>
                <w:szCs w:val="21"/>
                <w:highlight w:val="none"/>
              </w:rPr>
              <w:t>第2</w:t>
            </w:r>
            <w:r>
              <w:rPr>
                <w:rFonts w:hint="eastAsia" w:ascii="宋体" w:hAnsi="宋体"/>
                <w:color w:val="auto"/>
                <w:szCs w:val="21"/>
                <w:highlight w:val="none"/>
                <w:lang w:val="en-US" w:eastAsia="zh-CN"/>
              </w:rPr>
              <w:t>3.1</w:t>
            </w:r>
            <w:r>
              <w:rPr>
                <w:rFonts w:hint="eastAsia" w:ascii="宋体" w:hAnsi="宋体"/>
                <w:color w:val="auto"/>
                <w:szCs w:val="21"/>
                <w:highlight w:val="none"/>
                <w:lang w:eastAsia="zh-CN"/>
              </w:rPr>
              <w:t>款</w:t>
            </w:r>
          </w:p>
        </w:tc>
        <w:tc>
          <w:tcPr>
            <w:tcW w:w="1742" w:type="dxa"/>
            <w:vAlign w:val="center"/>
          </w:tcPr>
          <w:p w14:paraId="4E81A4FA">
            <w:pPr>
              <w:adjustRightInd w:val="0"/>
              <w:snapToGrid w:val="0"/>
              <w:jc w:val="left"/>
              <w:rPr>
                <w:rFonts w:ascii="宋体" w:hAnsi="宋体"/>
                <w:color w:val="auto"/>
                <w:szCs w:val="21"/>
                <w:highlight w:val="none"/>
              </w:rPr>
            </w:pPr>
            <w:r>
              <w:rPr>
                <w:rFonts w:hint="eastAsia" w:ascii="宋体" w:hAnsi="宋体"/>
                <w:bCs/>
                <w:color w:val="auto"/>
                <w:szCs w:val="21"/>
                <w:highlight w:val="none"/>
                <w:lang w:eastAsia="zh-CN"/>
              </w:rPr>
              <w:t>其他专用条款</w:t>
            </w:r>
          </w:p>
        </w:tc>
        <w:tc>
          <w:tcPr>
            <w:tcW w:w="5170" w:type="dxa"/>
            <w:vAlign w:val="center"/>
          </w:tcPr>
          <w:p w14:paraId="43A52B19">
            <w:pPr>
              <w:adjustRightInd w:val="0"/>
              <w:snapToGrid w:val="0"/>
              <w:jc w:val="left"/>
              <w:rPr>
                <w:rFonts w:hint="default" w:ascii="宋体" w:hAnsi="宋体" w:eastAsia="宋体"/>
                <w:color w:val="auto"/>
                <w:szCs w:val="21"/>
                <w:highlight w:val="none"/>
                <w:lang w:val="en-US" w:eastAsia="zh-CN"/>
              </w:rPr>
            </w:pPr>
          </w:p>
        </w:tc>
      </w:tr>
    </w:tbl>
    <w:p w14:paraId="458F1A85">
      <w:pPr>
        <w:rPr>
          <w:color w:val="auto"/>
          <w:highlight w:val="none"/>
        </w:rPr>
      </w:pPr>
    </w:p>
    <w:p w14:paraId="4DD8E2E0">
      <w:pPr>
        <w:rPr>
          <w:color w:val="auto"/>
          <w:highlight w:val="none"/>
        </w:rPr>
      </w:pPr>
    </w:p>
    <w:p w14:paraId="6266AABC">
      <w:pPr>
        <w:rPr>
          <w:rFonts w:ascii="宋体" w:hAnsi="宋体" w:cs="宋体"/>
          <w:color w:val="auto"/>
          <w:highlight w:val="none"/>
        </w:rPr>
      </w:pPr>
    </w:p>
    <w:p w14:paraId="766EBBF3">
      <w:pPr>
        <w:rPr>
          <w:color w:val="auto"/>
          <w:highlight w:val="none"/>
        </w:rPr>
      </w:pPr>
    </w:p>
    <w:p w14:paraId="5A618C58">
      <w:pPr>
        <w:pStyle w:val="14"/>
        <w:ind w:left="63" w:right="63" w:firstLine="210"/>
        <w:rPr>
          <w:color w:val="auto"/>
          <w:highlight w:val="none"/>
        </w:rPr>
      </w:pPr>
    </w:p>
    <w:p w14:paraId="6217932A">
      <w:pPr>
        <w:widowControl/>
        <w:jc w:val="left"/>
        <w:rPr>
          <w:rFonts w:ascii="宋体" w:hAnsi="宋体" w:cs="宋体"/>
          <w:color w:val="auto"/>
          <w:kern w:val="44"/>
          <w:sz w:val="32"/>
          <w:szCs w:val="32"/>
          <w:highlight w:val="none"/>
        </w:rPr>
      </w:pPr>
      <w:r>
        <w:rPr>
          <w:rFonts w:ascii="宋体" w:hAnsi="宋体" w:cs="宋体"/>
          <w:b/>
          <w:color w:val="auto"/>
          <w:szCs w:val="32"/>
          <w:highlight w:val="none"/>
        </w:rPr>
        <w:br w:type="page"/>
      </w:r>
    </w:p>
    <w:p w14:paraId="7585B180">
      <w:pPr>
        <w:pStyle w:val="2"/>
        <w:rPr>
          <w:rFonts w:ascii="宋体" w:hAnsi="宋体" w:cs="宋体"/>
          <w:b/>
          <w:bCs w:val="0"/>
          <w:color w:val="auto"/>
          <w:szCs w:val="32"/>
          <w:highlight w:val="none"/>
        </w:rPr>
      </w:pPr>
      <w:bookmarkStart w:id="113" w:name="_Toc8009"/>
      <w:r>
        <w:rPr>
          <w:rFonts w:hint="eastAsia" w:ascii="宋体" w:hAnsi="宋体" w:cs="宋体"/>
          <w:b/>
          <w:bCs w:val="0"/>
          <w:color w:val="auto"/>
          <w:szCs w:val="32"/>
          <w:highlight w:val="none"/>
        </w:rPr>
        <w:t xml:space="preserve">第五章 </w:t>
      </w:r>
      <w:r>
        <w:rPr>
          <w:rFonts w:hint="eastAsia" w:ascii="宋体" w:hAnsi="宋体" w:cs="宋体"/>
          <w:b/>
          <w:bCs w:val="0"/>
          <w:color w:val="auto"/>
          <w:szCs w:val="32"/>
          <w:highlight w:val="none"/>
          <w:lang w:val="en-US" w:eastAsia="zh-CN"/>
        </w:rPr>
        <w:t xml:space="preserve"> </w:t>
      </w:r>
      <w:r>
        <w:rPr>
          <w:rFonts w:hint="eastAsia" w:ascii="宋体" w:hAnsi="宋体" w:cs="宋体"/>
          <w:b/>
          <w:bCs w:val="0"/>
          <w:color w:val="auto"/>
          <w:szCs w:val="32"/>
          <w:highlight w:val="none"/>
        </w:rPr>
        <w:t>评标标准和方法</w:t>
      </w:r>
      <w:bookmarkEnd w:id="113"/>
    </w:p>
    <w:p w14:paraId="54C476F9">
      <w:pPr>
        <w:spacing w:line="360" w:lineRule="auto"/>
        <w:ind w:firstLine="480" w:firstLineChars="200"/>
        <w:outlineLvl w:val="0"/>
        <w:rPr>
          <w:rFonts w:cs="宋体"/>
          <w:color w:val="auto"/>
          <w:sz w:val="24"/>
          <w:szCs w:val="24"/>
          <w:highlight w:val="none"/>
        </w:rPr>
      </w:pPr>
      <w:bookmarkStart w:id="114" w:name="_Toc24209"/>
      <w:r>
        <w:rPr>
          <w:color w:val="auto"/>
          <w:sz w:val="24"/>
          <w:szCs w:val="24"/>
          <w:highlight w:val="none"/>
        </w:rPr>
        <w:t>1.</w:t>
      </w:r>
      <w:r>
        <w:rPr>
          <w:rFonts w:hint="eastAsia" w:cs="宋体"/>
          <w:color w:val="auto"/>
          <w:sz w:val="24"/>
          <w:szCs w:val="24"/>
          <w:highlight w:val="none"/>
        </w:rPr>
        <w:t>投标文件的评审、比较和否决</w:t>
      </w:r>
      <w:bookmarkEnd w:id="114"/>
    </w:p>
    <w:p w14:paraId="1283CBF1">
      <w:pPr>
        <w:spacing w:line="360" w:lineRule="auto"/>
        <w:ind w:firstLine="480" w:firstLineChars="200"/>
        <w:rPr>
          <w:rFonts w:cs="宋体"/>
          <w:color w:val="auto"/>
          <w:sz w:val="24"/>
          <w:szCs w:val="24"/>
          <w:highlight w:val="none"/>
        </w:rPr>
      </w:pPr>
      <w:r>
        <w:rPr>
          <w:color w:val="auto"/>
          <w:sz w:val="24"/>
          <w:szCs w:val="24"/>
          <w:highlight w:val="none"/>
        </w:rPr>
        <w:t>1.1</w:t>
      </w:r>
      <w:r>
        <w:rPr>
          <w:rFonts w:hint="eastAsia" w:cs="宋体"/>
          <w:color w:val="auto"/>
          <w:sz w:val="24"/>
          <w:szCs w:val="24"/>
          <w:highlight w:val="none"/>
        </w:rPr>
        <w:t>评标委员会将按照招标文件的规定，仅对在实质上响应招标文件要求的投标文件进行评估和比较。</w:t>
      </w:r>
    </w:p>
    <w:p w14:paraId="501FAA3C">
      <w:pPr>
        <w:spacing w:line="360" w:lineRule="auto"/>
        <w:ind w:firstLine="480" w:firstLineChars="200"/>
        <w:rPr>
          <w:rFonts w:cs="宋体"/>
          <w:color w:val="auto"/>
          <w:sz w:val="24"/>
          <w:szCs w:val="24"/>
          <w:highlight w:val="none"/>
        </w:rPr>
      </w:pPr>
      <w:r>
        <w:rPr>
          <w:color w:val="auto"/>
          <w:sz w:val="24"/>
          <w:szCs w:val="24"/>
          <w:highlight w:val="none"/>
        </w:rPr>
        <w:t>1.2</w:t>
      </w:r>
      <w:r>
        <w:rPr>
          <w:rFonts w:hint="eastAsia" w:cs="宋体"/>
          <w:color w:val="auto"/>
          <w:sz w:val="24"/>
          <w:szCs w:val="24"/>
          <w:highlight w:val="none"/>
        </w:rPr>
        <w:t>根据相关法律法规及有关招投标文件规定，结合本项目具体情况，制定本次招标评标办法。并按照“公平、公正、科学、择优”的原则进行评标。采用综合评分法进行评比。</w:t>
      </w:r>
    </w:p>
    <w:p w14:paraId="78EF6078">
      <w:pPr>
        <w:spacing w:line="360" w:lineRule="auto"/>
        <w:ind w:firstLine="480" w:firstLineChars="200"/>
        <w:rPr>
          <w:rFonts w:cs="宋体"/>
          <w:color w:val="auto"/>
          <w:sz w:val="24"/>
          <w:szCs w:val="24"/>
          <w:highlight w:val="none"/>
        </w:rPr>
      </w:pPr>
      <w:r>
        <w:rPr>
          <w:color w:val="auto"/>
          <w:sz w:val="24"/>
          <w:szCs w:val="24"/>
          <w:highlight w:val="none"/>
        </w:rPr>
        <w:t>1.3</w:t>
      </w:r>
      <w:r>
        <w:rPr>
          <w:rFonts w:hint="eastAsia" w:cs="宋体"/>
          <w:color w:val="auto"/>
          <w:sz w:val="24"/>
          <w:szCs w:val="24"/>
          <w:highlight w:val="none"/>
        </w:rPr>
        <w:t>在评审过程中，评标委员会要求投标供应商就投标文件中含义不明确的内容提供相关材料；凡遇到招标文件中无界定或界定不清、前后不一致使评委会成员意见有分歧且又难于协商一致的问题，均由评委会予以表决，获半数以上同意的即为通过，未获半数同意的即为否决。</w:t>
      </w:r>
    </w:p>
    <w:p w14:paraId="694262A9">
      <w:pPr>
        <w:spacing w:line="360" w:lineRule="auto"/>
        <w:ind w:firstLine="480" w:firstLineChars="200"/>
        <w:rPr>
          <w:rFonts w:cs="宋体"/>
          <w:color w:val="auto"/>
          <w:sz w:val="24"/>
          <w:szCs w:val="24"/>
          <w:highlight w:val="none"/>
        </w:rPr>
      </w:pPr>
      <w:r>
        <w:rPr>
          <w:color w:val="auto"/>
          <w:sz w:val="24"/>
          <w:szCs w:val="24"/>
          <w:highlight w:val="none"/>
        </w:rPr>
        <w:t>1.4</w:t>
      </w:r>
      <w:r>
        <w:rPr>
          <w:rFonts w:hint="eastAsia" w:cs="宋体"/>
          <w:color w:val="auto"/>
          <w:sz w:val="24"/>
          <w:szCs w:val="24"/>
          <w:highlight w:val="none"/>
        </w:rPr>
        <w:t>评标时，投标报价是评标的重要依据，但不是唯一依据，采购人不承诺将合同授予报价最低或最高的投标供应商。</w:t>
      </w:r>
    </w:p>
    <w:p w14:paraId="690C2A4F">
      <w:pPr>
        <w:spacing w:line="360" w:lineRule="auto"/>
        <w:ind w:firstLine="480" w:firstLineChars="200"/>
        <w:rPr>
          <w:rFonts w:cs="宋体"/>
          <w:color w:val="auto"/>
          <w:sz w:val="24"/>
          <w:szCs w:val="24"/>
          <w:highlight w:val="none"/>
        </w:rPr>
      </w:pPr>
      <w:r>
        <w:rPr>
          <w:color w:val="auto"/>
          <w:sz w:val="24"/>
          <w:szCs w:val="24"/>
          <w:highlight w:val="none"/>
        </w:rPr>
        <w:t>1.5</w:t>
      </w:r>
      <w:r>
        <w:rPr>
          <w:rFonts w:hint="eastAsia" w:cs="宋体"/>
          <w:color w:val="auto"/>
          <w:sz w:val="24"/>
          <w:szCs w:val="24"/>
          <w:highlight w:val="none"/>
        </w:rPr>
        <w:t>在评标过程中，出现多家投标供应商代理同一品牌同一型号产品参加投标的情况时，应当作为一家投标供应商计算，且由评标委员会现场确认。由评标委员会对投标同一品牌同一型号产品的多家投标供应商，按照本章确定的评分办法及标准对投标供应商先行进行打分，分值最高者为唯一的有效投标供应商；若得分相同的，以报价最低的投标供应商为唯一的有效投标供应商。</w:t>
      </w:r>
    </w:p>
    <w:p w14:paraId="1387ED3B">
      <w:pPr>
        <w:spacing w:line="360" w:lineRule="auto"/>
        <w:ind w:firstLine="480" w:firstLineChars="200"/>
        <w:rPr>
          <w:rFonts w:cs="宋体"/>
          <w:color w:val="auto"/>
          <w:sz w:val="24"/>
          <w:szCs w:val="24"/>
          <w:highlight w:val="none"/>
        </w:rPr>
      </w:pPr>
      <w:r>
        <w:rPr>
          <w:color w:val="auto"/>
          <w:sz w:val="24"/>
          <w:szCs w:val="24"/>
          <w:highlight w:val="none"/>
        </w:rPr>
        <w:t>1.6</w:t>
      </w:r>
      <w:r>
        <w:rPr>
          <w:rFonts w:hint="eastAsia" w:cs="宋体"/>
          <w:color w:val="auto"/>
          <w:sz w:val="24"/>
          <w:szCs w:val="24"/>
          <w:highlight w:val="none"/>
        </w:rPr>
        <w:t>在评标过程中，采购人采购的产品属于“节能产品政府采购清单”和“环境标志产品政府采购清单”中品目的，在性能、技术、服务等指标同等条件下，应当优先采购清单中的产品。对于同时列入环保清单和节能清单的产品，应当优先于只获得其中一项认证的产品。</w:t>
      </w:r>
    </w:p>
    <w:p w14:paraId="769038BB">
      <w:pPr>
        <w:spacing w:line="360" w:lineRule="auto"/>
        <w:ind w:firstLine="480" w:firstLineChars="200"/>
        <w:rPr>
          <w:color w:val="auto"/>
          <w:sz w:val="24"/>
          <w:szCs w:val="24"/>
          <w:highlight w:val="none"/>
        </w:rPr>
      </w:pPr>
      <w:r>
        <w:rPr>
          <w:color w:val="auto"/>
          <w:sz w:val="24"/>
          <w:szCs w:val="24"/>
          <w:highlight w:val="none"/>
        </w:rPr>
        <w:t>1.7</w:t>
      </w:r>
      <w:r>
        <w:rPr>
          <w:rFonts w:hint="eastAsia"/>
          <w:color w:val="auto"/>
          <w:sz w:val="24"/>
          <w:szCs w:val="24"/>
          <w:highlight w:val="none"/>
        </w:rPr>
        <w:t>投标供应商提供相同品牌产品且通过资格审查、符合性审查的不同投标供应商参加同一合同项下投标的，按一家投标供应商计算，评审后得分最高的同品牌投标供应商获得中标人推荐资格；评审得分相同的，由采购人或采购人委托评标委员会按照招标文件规定的方式确定一个投标供应商获得中标人推荐资格，招标文件未规定的采取随机方式确定，其他同品牌投标供应商不作为中标候选人。</w:t>
      </w:r>
    </w:p>
    <w:p w14:paraId="63D39ADF">
      <w:pPr>
        <w:spacing w:line="360" w:lineRule="auto"/>
        <w:ind w:firstLine="480" w:firstLineChars="200"/>
        <w:rPr>
          <w:rFonts w:cs="宋体"/>
          <w:color w:val="auto"/>
          <w:sz w:val="24"/>
          <w:szCs w:val="24"/>
          <w:highlight w:val="none"/>
        </w:rPr>
      </w:pPr>
      <w:r>
        <w:rPr>
          <w:rFonts w:hint="eastAsia"/>
          <w:color w:val="auto"/>
          <w:sz w:val="24"/>
          <w:szCs w:val="24"/>
          <w:highlight w:val="none"/>
        </w:rPr>
        <w:t>1.8</w:t>
      </w:r>
      <w:r>
        <w:rPr>
          <w:rFonts w:hint="eastAsia" w:cs="宋体"/>
          <w:color w:val="auto"/>
          <w:sz w:val="24"/>
          <w:szCs w:val="24"/>
          <w:highlight w:val="none"/>
        </w:rPr>
        <w:t>评标委员会依据本须知规定的评标标准和方法，对投标文件进行评审和比较，向采购人提出评标报告，并推荐合格的中标候选人。采购人授权评标委员会根据提供评标报告和推荐的中标候选人按序确定中标供应商。</w:t>
      </w:r>
    </w:p>
    <w:p w14:paraId="53D873E0">
      <w:pPr>
        <w:spacing w:line="360" w:lineRule="auto"/>
        <w:ind w:firstLine="480" w:firstLineChars="200"/>
        <w:outlineLvl w:val="0"/>
        <w:rPr>
          <w:color w:val="auto"/>
          <w:sz w:val="24"/>
          <w:szCs w:val="24"/>
          <w:highlight w:val="none"/>
        </w:rPr>
      </w:pPr>
      <w:bookmarkStart w:id="115" w:name="_Toc20116"/>
      <w:r>
        <w:rPr>
          <w:color w:val="auto"/>
          <w:sz w:val="24"/>
          <w:szCs w:val="24"/>
          <w:highlight w:val="none"/>
        </w:rPr>
        <w:t>2</w:t>
      </w:r>
      <w:r>
        <w:rPr>
          <w:rFonts w:hint="eastAsia" w:cs="宋体"/>
          <w:color w:val="auto"/>
          <w:sz w:val="24"/>
          <w:szCs w:val="24"/>
          <w:highlight w:val="none"/>
        </w:rPr>
        <w:t>．评分标准</w:t>
      </w:r>
      <w:r>
        <w:rPr>
          <w:color w:val="auto"/>
          <w:sz w:val="24"/>
          <w:szCs w:val="24"/>
          <w:highlight w:val="none"/>
        </w:rPr>
        <w:t>(</w:t>
      </w:r>
      <w:r>
        <w:rPr>
          <w:rFonts w:hint="eastAsia" w:cs="宋体"/>
          <w:color w:val="auto"/>
          <w:sz w:val="24"/>
          <w:szCs w:val="24"/>
          <w:highlight w:val="none"/>
        </w:rPr>
        <w:t>采用综合评分法</w:t>
      </w:r>
      <w:r>
        <w:rPr>
          <w:color w:val="auto"/>
          <w:sz w:val="24"/>
          <w:szCs w:val="24"/>
          <w:highlight w:val="none"/>
        </w:rPr>
        <w:t>)</w:t>
      </w:r>
      <w:bookmarkEnd w:id="115"/>
    </w:p>
    <w:p w14:paraId="0CD76D5C">
      <w:pPr>
        <w:spacing w:line="360" w:lineRule="auto"/>
        <w:ind w:firstLine="480" w:firstLineChars="200"/>
        <w:rPr>
          <w:color w:val="auto"/>
          <w:sz w:val="24"/>
          <w:szCs w:val="24"/>
          <w:highlight w:val="none"/>
        </w:rPr>
      </w:pPr>
      <w:r>
        <w:rPr>
          <w:rFonts w:hint="eastAsia" w:cs="宋体"/>
          <w:color w:val="auto"/>
          <w:sz w:val="24"/>
          <w:szCs w:val="24"/>
          <w:highlight w:val="none"/>
        </w:rPr>
        <w:t>评标委员会按照《中华人民共和国政府采购法》和《评标委员会和评标方法暂行规定》，结合本项目具体情况，按下列标准打分：第一部分：商务报价评审；第二部分：技术标评审；第三部分：综合评审。</w:t>
      </w:r>
    </w:p>
    <w:p w14:paraId="5E2796DD">
      <w:pPr>
        <w:spacing w:line="360" w:lineRule="auto"/>
        <w:ind w:firstLine="480" w:firstLineChars="200"/>
        <w:rPr>
          <w:rFonts w:cs="宋体"/>
          <w:color w:val="auto"/>
          <w:sz w:val="24"/>
          <w:szCs w:val="24"/>
          <w:highlight w:val="none"/>
        </w:rPr>
      </w:pPr>
      <w:r>
        <w:rPr>
          <w:rFonts w:hint="eastAsia" w:cs="宋体"/>
          <w:color w:val="auto"/>
          <w:sz w:val="24"/>
          <w:szCs w:val="24"/>
          <w:highlight w:val="none"/>
        </w:rPr>
        <w:t>投标供应商最终得分</w:t>
      </w:r>
      <w:r>
        <w:rPr>
          <w:color w:val="auto"/>
          <w:sz w:val="24"/>
          <w:szCs w:val="24"/>
          <w:highlight w:val="none"/>
        </w:rPr>
        <w:t>=</w:t>
      </w:r>
      <w:r>
        <w:rPr>
          <w:rFonts w:hint="eastAsia" w:cs="宋体"/>
          <w:color w:val="auto"/>
          <w:sz w:val="24"/>
          <w:szCs w:val="24"/>
          <w:highlight w:val="none"/>
        </w:rPr>
        <w:t>商务报价得分</w:t>
      </w:r>
      <w:r>
        <w:rPr>
          <w:color w:val="auto"/>
          <w:sz w:val="24"/>
          <w:szCs w:val="24"/>
          <w:highlight w:val="none"/>
        </w:rPr>
        <w:t>+</w:t>
      </w:r>
      <w:r>
        <w:rPr>
          <w:rFonts w:hint="eastAsia" w:cs="宋体"/>
          <w:color w:val="auto"/>
          <w:sz w:val="24"/>
          <w:szCs w:val="24"/>
          <w:highlight w:val="none"/>
        </w:rPr>
        <w:t>技术评审得分</w:t>
      </w:r>
      <w:r>
        <w:rPr>
          <w:color w:val="auto"/>
          <w:sz w:val="24"/>
          <w:szCs w:val="24"/>
          <w:highlight w:val="none"/>
        </w:rPr>
        <w:t>+</w:t>
      </w:r>
      <w:r>
        <w:rPr>
          <w:rFonts w:hint="eastAsia" w:cs="宋体"/>
          <w:color w:val="auto"/>
          <w:sz w:val="24"/>
          <w:szCs w:val="24"/>
          <w:highlight w:val="none"/>
        </w:rPr>
        <w:t>综合评审得分。</w:t>
      </w:r>
    </w:p>
    <w:p w14:paraId="1EC1FA7C">
      <w:pPr>
        <w:spacing w:line="360" w:lineRule="auto"/>
        <w:ind w:firstLine="480" w:firstLineChars="200"/>
        <w:outlineLvl w:val="0"/>
        <w:rPr>
          <w:rFonts w:cs="宋体"/>
          <w:color w:val="auto"/>
          <w:sz w:val="24"/>
          <w:szCs w:val="24"/>
          <w:highlight w:val="none"/>
        </w:rPr>
      </w:pPr>
      <w:bookmarkStart w:id="116" w:name="_Toc23845"/>
      <w:r>
        <w:rPr>
          <w:color w:val="auto"/>
          <w:sz w:val="24"/>
          <w:szCs w:val="24"/>
          <w:highlight w:val="none"/>
        </w:rPr>
        <w:t>3.</w:t>
      </w:r>
      <w:r>
        <w:rPr>
          <w:rFonts w:hint="eastAsia" w:cs="宋体"/>
          <w:color w:val="auto"/>
          <w:sz w:val="24"/>
          <w:szCs w:val="24"/>
          <w:highlight w:val="none"/>
        </w:rPr>
        <w:t>评审程序</w:t>
      </w:r>
      <w:bookmarkEnd w:id="116"/>
    </w:p>
    <w:p w14:paraId="61F6984B">
      <w:pPr>
        <w:spacing w:line="360" w:lineRule="auto"/>
        <w:ind w:firstLine="480" w:firstLineChars="200"/>
        <w:outlineLvl w:val="1"/>
        <w:rPr>
          <w:color w:val="auto"/>
          <w:sz w:val="24"/>
          <w:szCs w:val="24"/>
          <w:highlight w:val="none"/>
        </w:rPr>
      </w:pPr>
      <w:bookmarkStart w:id="117" w:name="_Toc7441"/>
      <w:r>
        <w:rPr>
          <w:color w:val="auto"/>
          <w:sz w:val="24"/>
          <w:szCs w:val="24"/>
          <w:highlight w:val="none"/>
        </w:rPr>
        <w:t>3.1</w:t>
      </w:r>
      <w:r>
        <w:rPr>
          <w:rFonts w:hint="eastAsia" w:cs="宋体"/>
          <w:color w:val="auto"/>
          <w:sz w:val="24"/>
          <w:szCs w:val="24"/>
          <w:highlight w:val="none"/>
        </w:rPr>
        <w:t>资格审查</w:t>
      </w:r>
      <w:bookmarkEnd w:id="117"/>
    </w:p>
    <w:p w14:paraId="29404A88">
      <w:pPr>
        <w:spacing w:line="360" w:lineRule="auto"/>
        <w:ind w:firstLine="480" w:firstLineChars="200"/>
        <w:rPr>
          <w:rFonts w:cs="宋体"/>
          <w:color w:val="auto"/>
          <w:sz w:val="24"/>
          <w:szCs w:val="24"/>
          <w:highlight w:val="none"/>
        </w:rPr>
      </w:pPr>
      <w:r>
        <w:rPr>
          <w:rFonts w:hint="eastAsia" w:cs="宋体"/>
          <w:color w:val="auto"/>
          <w:sz w:val="24"/>
          <w:szCs w:val="24"/>
          <w:highlight w:val="none"/>
        </w:rPr>
        <w:t>采购人按照</w:t>
      </w:r>
      <w:r>
        <w:rPr>
          <w:rFonts w:hint="eastAsia" w:cs="宋体"/>
          <w:b/>
          <w:bCs/>
          <w:color w:val="auto"/>
          <w:sz w:val="24"/>
          <w:szCs w:val="24"/>
          <w:highlight w:val="none"/>
        </w:rPr>
        <w:t>评标办法前附表</w:t>
      </w:r>
      <w:r>
        <w:rPr>
          <w:rFonts w:hint="eastAsia" w:cs="宋体"/>
          <w:color w:val="auto"/>
          <w:sz w:val="24"/>
          <w:szCs w:val="24"/>
          <w:highlight w:val="none"/>
        </w:rPr>
        <w:t>的要求，对投标供应商资格要求里的相关证件进行审查，有一项不符合的，视为未通过资格审查，不得进入下一评标过程。符合的进入下一评标程序。</w:t>
      </w:r>
    </w:p>
    <w:p w14:paraId="34BA8E8E">
      <w:pPr>
        <w:pStyle w:val="19"/>
        <w:spacing w:line="360" w:lineRule="auto"/>
        <w:ind w:firstLine="422"/>
        <w:jc w:val="center"/>
        <w:rPr>
          <w:rFonts w:hAnsi="宋体"/>
          <w:b/>
          <w:bCs/>
          <w:color w:val="auto"/>
          <w:highlight w:val="none"/>
        </w:rPr>
      </w:pPr>
      <w:r>
        <w:rPr>
          <w:rFonts w:hint="eastAsia" w:hAnsi="宋体"/>
          <w:b/>
          <w:bCs/>
          <w:color w:val="auto"/>
          <w:highlight w:val="none"/>
        </w:rPr>
        <w:t>评标办法前附表</w:t>
      </w:r>
    </w:p>
    <w:tbl>
      <w:tblPr>
        <w:tblStyle w:val="16"/>
        <w:tblpPr w:leftFromText="180" w:rightFromText="180" w:vertAnchor="text" w:tblpY="1"/>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02"/>
        <w:gridCol w:w="6225"/>
      </w:tblGrid>
      <w:tr w14:paraId="66B97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355" w:type="dxa"/>
            <w:gridSpan w:val="3"/>
            <w:tcBorders>
              <w:top w:val="single" w:color="auto" w:sz="4" w:space="0"/>
              <w:left w:val="single" w:color="auto" w:sz="4" w:space="0"/>
              <w:bottom w:val="single" w:color="auto" w:sz="4" w:space="0"/>
              <w:right w:val="single" w:color="auto" w:sz="4" w:space="0"/>
            </w:tcBorders>
            <w:vAlign w:val="center"/>
          </w:tcPr>
          <w:p w14:paraId="4C3948F8">
            <w:pPr>
              <w:autoSpaceDE w:val="0"/>
              <w:autoSpaceDN w:val="0"/>
              <w:adjustRightInd w:val="0"/>
              <w:spacing w:line="480" w:lineRule="exact"/>
              <w:jc w:val="center"/>
              <w:rPr>
                <w:rFonts w:ascii="宋体" w:hAnsi="宋体" w:cs="宋体"/>
                <w:b/>
                <w:color w:val="auto"/>
                <w:kern w:val="0"/>
                <w:sz w:val="24"/>
                <w:highlight w:val="none"/>
              </w:rPr>
            </w:pPr>
            <w:r>
              <w:rPr>
                <w:rFonts w:hint="eastAsia" w:ascii="宋体" w:hAnsi="宋体" w:cs="宋体"/>
                <w:b/>
                <w:color w:val="auto"/>
                <w:kern w:val="0"/>
                <w:sz w:val="24"/>
                <w:highlight w:val="none"/>
              </w:rPr>
              <w:t>初步审查</w:t>
            </w:r>
          </w:p>
        </w:tc>
      </w:tr>
      <w:tr w14:paraId="312ED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130" w:type="dxa"/>
            <w:gridSpan w:val="2"/>
            <w:tcBorders>
              <w:top w:val="single" w:color="auto" w:sz="4" w:space="0"/>
              <w:left w:val="single" w:color="auto" w:sz="4" w:space="0"/>
              <w:bottom w:val="single" w:color="auto" w:sz="4" w:space="0"/>
              <w:right w:val="single" w:color="auto" w:sz="4" w:space="0"/>
            </w:tcBorders>
            <w:vAlign w:val="center"/>
          </w:tcPr>
          <w:p w14:paraId="4A10BEFE">
            <w:pPr>
              <w:autoSpaceDE w:val="0"/>
              <w:autoSpaceDN w:val="0"/>
              <w:adjustRightInd w:val="0"/>
              <w:spacing w:line="480" w:lineRule="exact"/>
              <w:jc w:val="center"/>
              <w:rPr>
                <w:rFonts w:ascii="宋体" w:hAnsi="宋体" w:cs="宋体"/>
                <w:b/>
                <w:color w:val="auto"/>
                <w:sz w:val="24"/>
                <w:highlight w:val="none"/>
              </w:rPr>
            </w:pPr>
            <w:r>
              <w:rPr>
                <w:rFonts w:hint="eastAsia" w:ascii="宋体" w:hAnsi="宋体" w:cs="宋体"/>
                <w:b/>
                <w:color w:val="auto"/>
                <w:kern w:val="0"/>
                <w:sz w:val="24"/>
                <w:highlight w:val="none"/>
              </w:rPr>
              <w:t>评审项</w:t>
            </w:r>
          </w:p>
        </w:tc>
        <w:tc>
          <w:tcPr>
            <w:tcW w:w="6225" w:type="dxa"/>
            <w:tcBorders>
              <w:top w:val="single" w:color="auto" w:sz="4" w:space="0"/>
              <w:left w:val="single" w:color="auto" w:sz="4" w:space="0"/>
              <w:bottom w:val="single" w:color="auto" w:sz="4" w:space="0"/>
              <w:right w:val="single" w:color="auto" w:sz="4" w:space="0"/>
            </w:tcBorders>
            <w:vAlign w:val="center"/>
          </w:tcPr>
          <w:p w14:paraId="325AA1E0">
            <w:pPr>
              <w:autoSpaceDE w:val="0"/>
              <w:autoSpaceDN w:val="0"/>
              <w:adjustRightInd w:val="0"/>
              <w:spacing w:line="480" w:lineRule="exact"/>
              <w:jc w:val="center"/>
              <w:rPr>
                <w:rFonts w:ascii="宋体" w:hAnsi="宋体" w:cs="宋体"/>
                <w:b/>
                <w:color w:val="auto"/>
                <w:sz w:val="24"/>
                <w:highlight w:val="none"/>
              </w:rPr>
            </w:pPr>
            <w:r>
              <w:rPr>
                <w:rFonts w:hint="eastAsia" w:ascii="宋体" w:hAnsi="宋体" w:cs="宋体"/>
                <w:b/>
                <w:color w:val="auto"/>
                <w:kern w:val="0"/>
                <w:sz w:val="24"/>
                <w:highlight w:val="none"/>
              </w:rPr>
              <w:t>评审标准</w:t>
            </w:r>
          </w:p>
        </w:tc>
      </w:tr>
      <w:tr w14:paraId="665DC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28" w:type="dxa"/>
            <w:vMerge w:val="restart"/>
            <w:tcBorders>
              <w:top w:val="single" w:color="auto" w:sz="4" w:space="0"/>
              <w:left w:val="single" w:color="auto" w:sz="4" w:space="0"/>
              <w:right w:val="single" w:color="auto" w:sz="4" w:space="0"/>
            </w:tcBorders>
            <w:vAlign w:val="center"/>
          </w:tcPr>
          <w:p w14:paraId="35DF51FA">
            <w:pPr>
              <w:autoSpaceDE w:val="0"/>
              <w:autoSpaceDN w:val="0"/>
              <w:adjustRightInd w:val="0"/>
              <w:spacing w:line="48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符合性评审标准</w:t>
            </w:r>
          </w:p>
        </w:tc>
        <w:tc>
          <w:tcPr>
            <w:tcW w:w="2302" w:type="dxa"/>
            <w:tcBorders>
              <w:top w:val="single" w:color="auto" w:sz="4" w:space="0"/>
              <w:left w:val="single" w:color="auto" w:sz="4" w:space="0"/>
              <w:bottom w:val="single" w:color="auto" w:sz="4" w:space="0"/>
              <w:right w:val="single" w:color="auto" w:sz="4" w:space="0"/>
            </w:tcBorders>
            <w:vAlign w:val="center"/>
          </w:tcPr>
          <w:p w14:paraId="356DBF6F">
            <w:pPr>
              <w:autoSpaceDE w:val="0"/>
              <w:autoSpaceDN w:val="0"/>
              <w:adjustRightInd w:val="0"/>
              <w:spacing w:line="400" w:lineRule="exact"/>
              <w:jc w:val="center"/>
              <w:rPr>
                <w:rFonts w:ascii="宋体" w:hAnsi="宋体" w:cs="宋体"/>
                <w:color w:val="auto"/>
                <w:kern w:val="0"/>
                <w:sz w:val="24"/>
                <w:szCs w:val="24"/>
                <w:highlight w:val="none"/>
              </w:rPr>
            </w:pPr>
            <w:r>
              <w:rPr>
                <w:rFonts w:hint="eastAsia" w:ascii="宋体" w:hAnsi="宋体" w:cs="宋体"/>
                <w:color w:val="auto"/>
                <w:sz w:val="24"/>
                <w:szCs w:val="24"/>
                <w:highlight w:val="none"/>
              </w:rPr>
              <w:t>投标供应商名称</w:t>
            </w:r>
          </w:p>
        </w:tc>
        <w:tc>
          <w:tcPr>
            <w:tcW w:w="6225" w:type="dxa"/>
            <w:tcBorders>
              <w:top w:val="single" w:color="auto" w:sz="4" w:space="0"/>
              <w:left w:val="single" w:color="auto" w:sz="4" w:space="0"/>
              <w:bottom w:val="single" w:color="auto" w:sz="4" w:space="0"/>
              <w:right w:val="single" w:color="auto" w:sz="4" w:space="0"/>
            </w:tcBorders>
            <w:vAlign w:val="center"/>
          </w:tcPr>
          <w:p w14:paraId="4AF0D564">
            <w:pPr>
              <w:autoSpaceDE w:val="0"/>
              <w:autoSpaceDN w:val="0"/>
              <w:adjustRightInd w:val="0"/>
              <w:rPr>
                <w:rFonts w:ascii="宋体" w:hAnsi="宋体" w:cs="宋体"/>
                <w:color w:val="auto"/>
                <w:kern w:val="0"/>
                <w:sz w:val="24"/>
                <w:szCs w:val="24"/>
                <w:highlight w:val="none"/>
              </w:rPr>
            </w:pPr>
            <w:r>
              <w:rPr>
                <w:rFonts w:hint="eastAsia" w:ascii="宋体" w:hAnsi="宋体" w:cs="宋体"/>
                <w:color w:val="auto"/>
                <w:sz w:val="24"/>
                <w:szCs w:val="24"/>
                <w:highlight w:val="none"/>
              </w:rPr>
              <w:t>与营业执照一致</w:t>
            </w:r>
          </w:p>
        </w:tc>
      </w:tr>
      <w:tr w14:paraId="4B1E6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28" w:type="dxa"/>
            <w:vMerge w:val="continue"/>
            <w:tcBorders>
              <w:left w:val="single" w:color="auto" w:sz="4" w:space="0"/>
              <w:right w:val="single" w:color="auto" w:sz="4" w:space="0"/>
            </w:tcBorders>
            <w:vAlign w:val="center"/>
          </w:tcPr>
          <w:p w14:paraId="3E97F60C">
            <w:pPr>
              <w:autoSpaceDE w:val="0"/>
              <w:autoSpaceDN w:val="0"/>
              <w:adjustRightInd w:val="0"/>
              <w:spacing w:line="480" w:lineRule="exact"/>
              <w:jc w:val="center"/>
              <w:rPr>
                <w:rFonts w:ascii="宋体" w:hAnsi="宋体" w:cs="宋体"/>
                <w:color w:val="auto"/>
                <w:kern w:val="0"/>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3CBCBD57">
            <w:pPr>
              <w:autoSpaceDE w:val="0"/>
              <w:autoSpaceDN w:val="0"/>
              <w:adjustRightInd w:val="0"/>
              <w:spacing w:line="400" w:lineRule="exact"/>
              <w:jc w:val="center"/>
              <w:rPr>
                <w:rFonts w:ascii="宋体" w:hAnsi="宋体" w:cs="宋体"/>
                <w:color w:val="auto"/>
                <w:kern w:val="0"/>
                <w:sz w:val="24"/>
                <w:szCs w:val="24"/>
                <w:highlight w:val="none"/>
              </w:rPr>
            </w:pPr>
            <w:r>
              <w:rPr>
                <w:rFonts w:hint="eastAsia" w:ascii="宋体" w:hAnsi="宋体" w:cs="宋体"/>
                <w:color w:val="auto"/>
                <w:sz w:val="24"/>
                <w:szCs w:val="24"/>
                <w:highlight w:val="none"/>
              </w:rPr>
              <w:t>盖章、签字</w:t>
            </w:r>
          </w:p>
        </w:tc>
        <w:tc>
          <w:tcPr>
            <w:tcW w:w="6225" w:type="dxa"/>
            <w:tcBorders>
              <w:top w:val="single" w:color="auto" w:sz="4" w:space="0"/>
              <w:left w:val="single" w:color="auto" w:sz="4" w:space="0"/>
              <w:bottom w:val="single" w:color="auto" w:sz="4" w:space="0"/>
              <w:right w:val="single" w:color="auto" w:sz="4" w:space="0"/>
            </w:tcBorders>
            <w:vAlign w:val="center"/>
          </w:tcPr>
          <w:p w14:paraId="7140FA45">
            <w:pPr>
              <w:autoSpaceDE w:val="0"/>
              <w:autoSpaceDN w:val="0"/>
              <w:adjustRightInd w:val="0"/>
              <w:rPr>
                <w:rFonts w:ascii="宋体" w:hAnsi="宋体" w:cs="宋体"/>
                <w:color w:val="auto"/>
                <w:kern w:val="0"/>
                <w:sz w:val="24"/>
                <w:szCs w:val="24"/>
                <w:highlight w:val="none"/>
              </w:rPr>
            </w:pPr>
            <w:r>
              <w:rPr>
                <w:rFonts w:hint="eastAsia" w:ascii="宋体" w:hAnsi="宋体" w:cs="宋体"/>
                <w:color w:val="auto"/>
                <w:sz w:val="24"/>
                <w:szCs w:val="24"/>
                <w:highlight w:val="none"/>
              </w:rPr>
              <w:t>符合招标文件签字、盖章的要求</w:t>
            </w:r>
          </w:p>
        </w:tc>
      </w:tr>
      <w:tr w14:paraId="7B2A8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28" w:type="dxa"/>
            <w:vMerge w:val="continue"/>
            <w:tcBorders>
              <w:left w:val="single" w:color="auto" w:sz="4" w:space="0"/>
              <w:right w:val="single" w:color="auto" w:sz="4" w:space="0"/>
            </w:tcBorders>
            <w:vAlign w:val="center"/>
          </w:tcPr>
          <w:p w14:paraId="3E46A12A">
            <w:pPr>
              <w:autoSpaceDE w:val="0"/>
              <w:autoSpaceDN w:val="0"/>
              <w:adjustRightInd w:val="0"/>
              <w:spacing w:line="480" w:lineRule="exact"/>
              <w:jc w:val="center"/>
              <w:rPr>
                <w:rFonts w:ascii="宋体" w:hAnsi="宋体" w:cs="宋体"/>
                <w:color w:val="auto"/>
                <w:kern w:val="0"/>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3006C420">
            <w:pPr>
              <w:autoSpaceDE w:val="0"/>
              <w:autoSpaceDN w:val="0"/>
              <w:adjustRightInd w:val="0"/>
              <w:spacing w:line="400" w:lineRule="exact"/>
              <w:jc w:val="center"/>
              <w:rPr>
                <w:rFonts w:ascii="宋体" w:hAnsi="宋体" w:cs="宋体"/>
                <w:color w:val="auto"/>
                <w:kern w:val="0"/>
                <w:sz w:val="24"/>
                <w:szCs w:val="24"/>
                <w:highlight w:val="none"/>
              </w:rPr>
            </w:pPr>
            <w:r>
              <w:rPr>
                <w:rFonts w:hint="eastAsia" w:ascii="宋体" w:hAnsi="宋体" w:cs="宋体"/>
                <w:color w:val="auto"/>
                <w:sz w:val="24"/>
                <w:szCs w:val="24"/>
                <w:highlight w:val="none"/>
              </w:rPr>
              <w:t>文件格式</w:t>
            </w:r>
          </w:p>
        </w:tc>
        <w:tc>
          <w:tcPr>
            <w:tcW w:w="6225" w:type="dxa"/>
            <w:tcBorders>
              <w:top w:val="single" w:color="auto" w:sz="4" w:space="0"/>
              <w:left w:val="single" w:color="auto" w:sz="4" w:space="0"/>
              <w:bottom w:val="single" w:color="auto" w:sz="4" w:space="0"/>
              <w:right w:val="single" w:color="auto" w:sz="4" w:space="0"/>
            </w:tcBorders>
            <w:vAlign w:val="center"/>
          </w:tcPr>
          <w:p w14:paraId="5A9ECFFF">
            <w:pPr>
              <w:autoSpaceDE w:val="0"/>
              <w:autoSpaceDN w:val="0"/>
              <w:adjustRightInd w:val="0"/>
              <w:rPr>
                <w:rFonts w:ascii="宋体" w:hAnsi="宋体" w:cs="宋体"/>
                <w:color w:val="auto"/>
                <w:kern w:val="0"/>
                <w:sz w:val="24"/>
                <w:szCs w:val="24"/>
                <w:highlight w:val="none"/>
              </w:rPr>
            </w:pPr>
            <w:r>
              <w:rPr>
                <w:rFonts w:hint="eastAsia" w:ascii="宋体" w:hAnsi="宋体" w:cs="宋体"/>
                <w:color w:val="auto"/>
                <w:sz w:val="24"/>
                <w:szCs w:val="24"/>
                <w:highlight w:val="none"/>
              </w:rPr>
              <w:t>符合 “第六章  投标文件格式”及招标文件的要求</w:t>
            </w:r>
          </w:p>
        </w:tc>
      </w:tr>
      <w:tr w14:paraId="5264B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28" w:type="dxa"/>
            <w:vMerge w:val="continue"/>
            <w:tcBorders>
              <w:left w:val="single" w:color="auto" w:sz="4" w:space="0"/>
              <w:right w:val="single" w:color="auto" w:sz="4" w:space="0"/>
            </w:tcBorders>
            <w:vAlign w:val="center"/>
          </w:tcPr>
          <w:p w14:paraId="7D5B8AA4">
            <w:pPr>
              <w:autoSpaceDE w:val="0"/>
              <w:autoSpaceDN w:val="0"/>
              <w:adjustRightInd w:val="0"/>
              <w:spacing w:line="480" w:lineRule="exact"/>
              <w:jc w:val="center"/>
              <w:rPr>
                <w:rFonts w:ascii="宋体" w:hAnsi="宋体" w:cs="宋体"/>
                <w:color w:val="auto"/>
                <w:kern w:val="0"/>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01AE9FC8">
            <w:pPr>
              <w:autoSpaceDE w:val="0"/>
              <w:autoSpaceDN w:val="0"/>
              <w:adjustRightInd w:val="0"/>
              <w:spacing w:line="400" w:lineRule="exact"/>
              <w:jc w:val="center"/>
              <w:rPr>
                <w:rFonts w:ascii="宋体" w:hAnsi="宋体" w:cs="宋体"/>
                <w:color w:val="auto"/>
                <w:kern w:val="0"/>
                <w:sz w:val="24"/>
                <w:szCs w:val="24"/>
                <w:highlight w:val="none"/>
              </w:rPr>
            </w:pPr>
            <w:r>
              <w:rPr>
                <w:rFonts w:hint="eastAsia" w:ascii="宋体" w:hAnsi="宋体" w:cs="宋体"/>
                <w:color w:val="auto"/>
                <w:sz w:val="24"/>
                <w:szCs w:val="24"/>
                <w:highlight w:val="none"/>
              </w:rPr>
              <w:t>报价唯一</w:t>
            </w:r>
          </w:p>
        </w:tc>
        <w:tc>
          <w:tcPr>
            <w:tcW w:w="6225" w:type="dxa"/>
            <w:tcBorders>
              <w:top w:val="single" w:color="auto" w:sz="4" w:space="0"/>
              <w:left w:val="single" w:color="auto" w:sz="4" w:space="0"/>
              <w:bottom w:val="single" w:color="auto" w:sz="4" w:space="0"/>
              <w:right w:val="single" w:color="auto" w:sz="4" w:space="0"/>
            </w:tcBorders>
            <w:vAlign w:val="center"/>
          </w:tcPr>
          <w:p w14:paraId="6B31EE33">
            <w:pPr>
              <w:autoSpaceDE w:val="0"/>
              <w:autoSpaceDN w:val="0"/>
              <w:adjustRightInd w:val="0"/>
              <w:rPr>
                <w:rFonts w:ascii="宋体" w:hAnsi="宋体" w:cs="宋体"/>
                <w:color w:val="auto"/>
                <w:kern w:val="0"/>
                <w:sz w:val="24"/>
                <w:szCs w:val="24"/>
                <w:highlight w:val="none"/>
              </w:rPr>
            </w:pPr>
            <w:r>
              <w:rPr>
                <w:rFonts w:hint="eastAsia"/>
                <w:color w:val="auto"/>
                <w:highlight w:val="none"/>
              </w:rPr>
              <w:t>只能有一个有效报价且单价、总价均不超过最高限价</w:t>
            </w:r>
          </w:p>
        </w:tc>
      </w:tr>
      <w:tr w14:paraId="22933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828" w:type="dxa"/>
            <w:vMerge w:val="restart"/>
            <w:tcBorders>
              <w:top w:val="single" w:color="auto" w:sz="4" w:space="0"/>
              <w:left w:val="single" w:color="auto" w:sz="4" w:space="0"/>
              <w:right w:val="single" w:color="auto" w:sz="4" w:space="0"/>
            </w:tcBorders>
            <w:vAlign w:val="center"/>
          </w:tcPr>
          <w:p w14:paraId="54EA3910">
            <w:pPr>
              <w:autoSpaceDE w:val="0"/>
              <w:autoSpaceDN w:val="0"/>
              <w:adjustRightInd w:val="0"/>
              <w:spacing w:line="48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资格评审标准（由采购人或采购人委托的代理机构  对投标单位进行评审）</w:t>
            </w:r>
          </w:p>
        </w:tc>
        <w:tc>
          <w:tcPr>
            <w:tcW w:w="2302" w:type="dxa"/>
            <w:tcBorders>
              <w:top w:val="single" w:color="auto" w:sz="4" w:space="0"/>
              <w:left w:val="single" w:color="auto" w:sz="4" w:space="0"/>
              <w:bottom w:val="single" w:color="auto" w:sz="4" w:space="0"/>
              <w:right w:val="single" w:color="auto" w:sz="4" w:space="0"/>
            </w:tcBorders>
            <w:vAlign w:val="center"/>
          </w:tcPr>
          <w:p w14:paraId="49B45112">
            <w:pPr>
              <w:autoSpaceDE w:val="0"/>
              <w:autoSpaceDN w:val="0"/>
              <w:adjustRightInd w:val="0"/>
              <w:spacing w:line="400" w:lineRule="exact"/>
              <w:jc w:val="center"/>
              <w:rPr>
                <w:rFonts w:ascii="宋体" w:hAnsi="宋体" w:cs="宋体"/>
                <w:color w:val="auto"/>
                <w:sz w:val="24"/>
                <w:szCs w:val="24"/>
                <w:highlight w:val="none"/>
              </w:rPr>
            </w:pPr>
            <w:r>
              <w:rPr>
                <w:rFonts w:hint="eastAsia" w:ascii="宋体" w:hAnsi="宋体"/>
                <w:bCs/>
                <w:color w:val="auto"/>
                <w:sz w:val="24"/>
                <w:szCs w:val="24"/>
                <w:highlight w:val="none"/>
              </w:rPr>
              <w:t>符合《中华人民共和国政府采购法》第二十二条规定条件</w:t>
            </w:r>
          </w:p>
        </w:tc>
        <w:tc>
          <w:tcPr>
            <w:tcW w:w="6225" w:type="dxa"/>
            <w:tcBorders>
              <w:top w:val="single" w:color="auto" w:sz="4" w:space="0"/>
              <w:left w:val="single" w:color="auto" w:sz="4" w:space="0"/>
              <w:right w:val="single" w:color="auto" w:sz="4" w:space="0"/>
            </w:tcBorders>
            <w:vAlign w:val="center"/>
          </w:tcPr>
          <w:p w14:paraId="06866CB8">
            <w:pPr>
              <w:autoSpaceDE w:val="0"/>
              <w:autoSpaceDN w:val="0"/>
              <w:adjustRightInd w:val="0"/>
              <w:jc w:val="left"/>
              <w:rPr>
                <w:rFonts w:ascii="宋体" w:hAnsi="宋体" w:cs="宋体"/>
                <w:bCs/>
                <w:color w:val="auto"/>
                <w:sz w:val="24"/>
                <w:szCs w:val="24"/>
                <w:highlight w:val="none"/>
              </w:rPr>
            </w:pPr>
            <w:r>
              <w:rPr>
                <w:rFonts w:hint="eastAsia" w:ascii="宋体" w:hAnsi="宋体"/>
                <w:bCs/>
                <w:color w:val="auto"/>
                <w:sz w:val="24"/>
                <w:szCs w:val="24"/>
                <w:highlight w:val="none"/>
              </w:rPr>
              <w:t>供应商符合《中华人民共和国政府采购法》第二十二条规定条件（提供相关证明资料或承诺书）</w:t>
            </w:r>
          </w:p>
        </w:tc>
      </w:tr>
      <w:tr w14:paraId="17697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8" w:type="dxa"/>
            <w:vMerge w:val="continue"/>
            <w:tcBorders>
              <w:top w:val="single" w:color="auto" w:sz="4" w:space="0"/>
              <w:left w:val="single" w:color="auto" w:sz="4" w:space="0"/>
              <w:right w:val="single" w:color="auto" w:sz="4" w:space="0"/>
            </w:tcBorders>
            <w:vAlign w:val="center"/>
          </w:tcPr>
          <w:p w14:paraId="08EF8E85">
            <w:pPr>
              <w:autoSpaceDE w:val="0"/>
              <w:autoSpaceDN w:val="0"/>
              <w:adjustRightInd w:val="0"/>
              <w:spacing w:line="480" w:lineRule="exact"/>
              <w:jc w:val="center"/>
              <w:rPr>
                <w:rFonts w:ascii="宋体" w:hAnsi="宋体" w:cs="宋体"/>
                <w:color w:val="auto"/>
                <w:kern w:val="0"/>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6126180A">
            <w:pPr>
              <w:autoSpaceDE w:val="0"/>
              <w:autoSpaceDN w:val="0"/>
              <w:adjustRightInd w:val="0"/>
              <w:spacing w:line="400" w:lineRule="exact"/>
              <w:jc w:val="center"/>
              <w:rPr>
                <w:rFonts w:ascii="宋体" w:hAnsi="宋体"/>
                <w:bCs/>
                <w:color w:val="auto"/>
                <w:sz w:val="24"/>
                <w:szCs w:val="24"/>
                <w:highlight w:val="none"/>
              </w:rPr>
            </w:pPr>
            <w:r>
              <w:rPr>
                <w:rFonts w:hint="eastAsia" w:ascii="宋体" w:hAnsi="宋体"/>
                <w:bCs/>
                <w:color w:val="auto"/>
                <w:sz w:val="24"/>
                <w:szCs w:val="24"/>
                <w:highlight w:val="none"/>
              </w:rPr>
              <w:t>营业执照</w:t>
            </w:r>
          </w:p>
        </w:tc>
        <w:tc>
          <w:tcPr>
            <w:tcW w:w="6225" w:type="dxa"/>
            <w:tcBorders>
              <w:top w:val="single" w:color="auto" w:sz="4" w:space="0"/>
              <w:left w:val="single" w:color="auto" w:sz="4" w:space="0"/>
              <w:bottom w:val="single" w:color="auto" w:sz="4" w:space="0"/>
              <w:right w:val="single" w:color="auto" w:sz="4" w:space="0"/>
            </w:tcBorders>
            <w:vAlign w:val="center"/>
          </w:tcPr>
          <w:p w14:paraId="71022AAF">
            <w:pPr>
              <w:autoSpaceDE w:val="0"/>
              <w:autoSpaceDN w:val="0"/>
              <w:adjustRightInd w:val="0"/>
              <w:jc w:val="left"/>
              <w:rPr>
                <w:rFonts w:ascii="宋体" w:hAnsi="宋体"/>
                <w:bCs/>
                <w:color w:val="auto"/>
                <w:sz w:val="24"/>
                <w:szCs w:val="24"/>
                <w:highlight w:val="none"/>
              </w:rPr>
            </w:pPr>
            <w:r>
              <w:rPr>
                <w:rFonts w:hint="eastAsia" w:ascii="宋体" w:hAnsi="宋体"/>
                <w:color w:val="auto"/>
                <w:sz w:val="24"/>
                <w:szCs w:val="24"/>
                <w:highlight w:val="none"/>
              </w:rPr>
              <w:t>投标供应商须具有独立法人资格，同时具有有效的营业执照、税务登记证、组织机构代码证或三证合一的营业执照</w:t>
            </w:r>
          </w:p>
        </w:tc>
      </w:tr>
      <w:tr w14:paraId="205A5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28" w:type="dxa"/>
            <w:vMerge w:val="continue"/>
            <w:tcBorders>
              <w:left w:val="single" w:color="auto" w:sz="4" w:space="0"/>
              <w:right w:val="single" w:color="auto" w:sz="4" w:space="0"/>
            </w:tcBorders>
            <w:vAlign w:val="center"/>
          </w:tcPr>
          <w:p w14:paraId="65570702">
            <w:pPr>
              <w:autoSpaceDE w:val="0"/>
              <w:autoSpaceDN w:val="0"/>
              <w:adjustRightInd w:val="0"/>
              <w:spacing w:line="480" w:lineRule="exact"/>
              <w:jc w:val="center"/>
              <w:rPr>
                <w:rFonts w:ascii="宋体" w:hAnsi="宋体" w:cs="宋体"/>
                <w:color w:val="auto"/>
                <w:kern w:val="0"/>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5D91E268">
            <w:pPr>
              <w:autoSpaceDE w:val="0"/>
              <w:autoSpaceDN w:val="0"/>
              <w:adjustRightIn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能力要求</w:t>
            </w:r>
          </w:p>
        </w:tc>
        <w:tc>
          <w:tcPr>
            <w:tcW w:w="6225" w:type="dxa"/>
            <w:tcBorders>
              <w:top w:val="single" w:color="auto" w:sz="4" w:space="0"/>
              <w:left w:val="single" w:color="auto" w:sz="4" w:space="0"/>
              <w:bottom w:val="single" w:color="auto" w:sz="4" w:space="0"/>
              <w:right w:val="single" w:color="auto" w:sz="4" w:space="0"/>
            </w:tcBorders>
            <w:vAlign w:val="center"/>
          </w:tcPr>
          <w:p w14:paraId="0207C74D">
            <w:pPr>
              <w:autoSpaceDE w:val="0"/>
              <w:autoSpaceDN w:val="0"/>
              <w:adjustRightInd w:val="0"/>
              <w:ind w:right="-61" w:rightChars="-29"/>
              <w:jc w:val="left"/>
              <w:rPr>
                <w:rFonts w:ascii="宋体" w:hAnsi="宋体" w:cs="宋体"/>
                <w:color w:val="auto"/>
                <w:kern w:val="0"/>
                <w:sz w:val="24"/>
                <w:szCs w:val="28"/>
                <w:highlight w:val="none"/>
              </w:rPr>
            </w:pPr>
            <w:r>
              <w:rPr>
                <w:rFonts w:hint="eastAsia" w:ascii="宋体" w:hAnsi="宋体"/>
                <w:color w:val="auto"/>
                <w:sz w:val="24"/>
                <w:szCs w:val="24"/>
                <w:highlight w:val="none"/>
              </w:rPr>
              <w:t>投标</w:t>
            </w:r>
            <w:r>
              <w:rPr>
                <w:rFonts w:hint="eastAsia" w:ascii="宋体" w:hAnsi="宋体" w:cs="宋体"/>
                <w:bCs/>
                <w:color w:val="auto"/>
                <w:sz w:val="24"/>
                <w:szCs w:val="24"/>
                <w:highlight w:val="none"/>
              </w:rPr>
              <w:t>供应商应具有履行合同所必须的设备、人员和专业技术能力（承诺书格式自拟）</w:t>
            </w:r>
          </w:p>
        </w:tc>
      </w:tr>
      <w:tr w14:paraId="1759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28" w:type="dxa"/>
            <w:vMerge w:val="continue"/>
            <w:tcBorders>
              <w:left w:val="single" w:color="auto" w:sz="4" w:space="0"/>
              <w:right w:val="single" w:color="auto" w:sz="4" w:space="0"/>
            </w:tcBorders>
            <w:vAlign w:val="center"/>
          </w:tcPr>
          <w:p w14:paraId="49318AF8">
            <w:pPr>
              <w:autoSpaceDE w:val="0"/>
              <w:autoSpaceDN w:val="0"/>
              <w:adjustRightInd w:val="0"/>
              <w:spacing w:line="480" w:lineRule="exact"/>
              <w:jc w:val="center"/>
              <w:rPr>
                <w:rFonts w:ascii="宋体" w:hAnsi="宋体" w:cs="宋体"/>
                <w:color w:val="auto"/>
                <w:kern w:val="0"/>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63B4505E">
            <w:pPr>
              <w:autoSpaceDE w:val="0"/>
              <w:autoSpaceDN w:val="0"/>
              <w:adjustRightIn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无商业贿赂和不正当竞争行为</w:t>
            </w:r>
          </w:p>
        </w:tc>
        <w:tc>
          <w:tcPr>
            <w:tcW w:w="6225" w:type="dxa"/>
            <w:tcBorders>
              <w:top w:val="single" w:color="auto" w:sz="4" w:space="0"/>
              <w:left w:val="single" w:color="auto" w:sz="4" w:space="0"/>
              <w:bottom w:val="single" w:color="auto" w:sz="4" w:space="0"/>
              <w:right w:val="single" w:color="auto" w:sz="4" w:space="0"/>
            </w:tcBorders>
            <w:vAlign w:val="center"/>
          </w:tcPr>
          <w:p w14:paraId="3659C180">
            <w:pPr>
              <w:autoSpaceDE w:val="0"/>
              <w:autoSpaceDN w:val="0"/>
              <w:adjustRightInd w:val="0"/>
              <w:ind w:right="-61" w:rightChars="-29"/>
              <w:jc w:val="left"/>
              <w:rPr>
                <w:rFonts w:ascii="宋体" w:hAnsi="宋体" w:cs="宋体"/>
                <w:bCs/>
                <w:color w:val="auto"/>
                <w:sz w:val="24"/>
                <w:szCs w:val="24"/>
                <w:highlight w:val="none"/>
              </w:rPr>
            </w:pPr>
            <w:r>
              <w:rPr>
                <w:rFonts w:hint="eastAsia" w:ascii="宋体" w:hAnsi="宋体"/>
                <w:color w:val="auto"/>
                <w:sz w:val="24"/>
                <w:szCs w:val="24"/>
                <w:highlight w:val="none"/>
              </w:rPr>
              <w:t>投标供应商自成立以来无商业贿赂及无不正当竞争行为（提供承诺书，</w:t>
            </w:r>
            <w:r>
              <w:rPr>
                <w:rFonts w:hint="eastAsia" w:ascii="宋体" w:hAnsi="宋体" w:cs="宋体"/>
                <w:bCs/>
                <w:color w:val="auto"/>
                <w:sz w:val="24"/>
                <w:szCs w:val="24"/>
                <w:highlight w:val="none"/>
              </w:rPr>
              <w:t>承诺书格式自拟</w:t>
            </w:r>
            <w:r>
              <w:rPr>
                <w:rFonts w:hint="eastAsia" w:ascii="宋体" w:hAnsi="宋体"/>
                <w:color w:val="auto"/>
                <w:sz w:val="24"/>
                <w:szCs w:val="24"/>
                <w:highlight w:val="none"/>
              </w:rPr>
              <w:t>）</w:t>
            </w:r>
          </w:p>
        </w:tc>
      </w:tr>
      <w:tr w14:paraId="5DF86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28" w:type="dxa"/>
            <w:vMerge w:val="continue"/>
            <w:tcBorders>
              <w:left w:val="single" w:color="auto" w:sz="4" w:space="0"/>
              <w:right w:val="single" w:color="auto" w:sz="4" w:space="0"/>
            </w:tcBorders>
            <w:vAlign w:val="center"/>
          </w:tcPr>
          <w:p w14:paraId="2929C91B">
            <w:pPr>
              <w:autoSpaceDE w:val="0"/>
              <w:autoSpaceDN w:val="0"/>
              <w:adjustRightInd w:val="0"/>
              <w:spacing w:line="480" w:lineRule="exact"/>
              <w:jc w:val="center"/>
              <w:rPr>
                <w:rFonts w:ascii="宋体" w:hAnsi="宋体" w:cs="宋体"/>
                <w:color w:val="auto"/>
                <w:kern w:val="0"/>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2DFC0775">
            <w:pPr>
              <w:autoSpaceDE w:val="0"/>
              <w:autoSpaceDN w:val="0"/>
              <w:adjustRightIn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无行贿犯罪记录</w:t>
            </w:r>
          </w:p>
        </w:tc>
        <w:tc>
          <w:tcPr>
            <w:tcW w:w="6225" w:type="dxa"/>
            <w:tcBorders>
              <w:top w:val="single" w:color="auto" w:sz="4" w:space="0"/>
              <w:left w:val="single" w:color="auto" w:sz="4" w:space="0"/>
              <w:bottom w:val="single" w:color="auto" w:sz="4" w:space="0"/>
              <w:right w:val="single" w:color="auto" w:sz="4" w:space="0"/>
            </w:tcBorders>
            <w:vAlign w:val="center"/>
          </w:tcPr>
          <w:p w14:paraId="59CA6102">
            <w:pPr>
              <w:autoSpaceDE w:val="0"/>
              <w:autoSpaceDN w:val="0"/>
              <w:adjustRightInd w:val="0"/>
              <w:ind w:right="-61" w:rightChars="-29"/>
              <w:jc w:val="left"/>
              <w:rPr>
                <w:rFonts w:ascii="宋体" w:hAnsi="宋体" w:cs="宋体"/>
                <w:bCs/>
                <w:color w:val="auto"/>
                <w:sz w:val="24"/>
                <w:szCs w:val="24"/>
                <w:highlight w:val="none"/>
              </w:rPr>
            </w:pPr>
            <w:r>
              <w:rPr>
                <w:rFonts w:hint="eastAsia" w:ascii="宋体" w:hAnsi="宋体"/>
                <w:color w:val="auto"/>
                <w:sz w:val="24"/>
                <w:szCs w:val="24"/>
                <w:highlight w:val="none"/>
              </w:rPr>
              <w:t>提供投标供应商企业、法定代表人无行贿犯罪记录，在中国裁判文书网查询（提供公告后网页查询截图）或投标供应商自行承诺</w:t>
            </w:r>
          </w:p>
        </w:tc>
      </w:tr>
      <w:tr w14:paraId="32E6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828" w:type="dxa"/>
            <w:vMerge w:val="continue"/>
            <w:tcBorders>
              <w:left w:val="single" w:color="auto" w:sz="4" w:space="0"/>
              <w:right w:val="single" w:color="auto" w:sz="4" w:space="0"/>
            </w:tcBorders>
            <w:vAlign w:val="center"/>
          </w:tcPr>
          <w:p w14:paraId="1FE9D289">
            <w:pPr>
              <w:autoSpaceDE w:val="0"/>
              <w:autoSpaceDN w:val="0"/>
              <w:adjustRightInd w:val="0"/>
              <w:spacing w:line="480" w:lineRule="exact"/>
              <w:jc w:val="center"/>
              <w:rPr>
                <w:rFonts w:ascii="宋体" w:hAnsi="宋体" w:cs="宋体"/>
                <w:color w:val="auto"/>
                <w:kern w:val="0"/>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224C949C">
            <w:pPr>
              <w:autoSpaceDE w:val="0"/>
              <w:autoSpaceDN w:val="0"/>
              <w:adjustRightIn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国家企业信用信息公示系统查询</w:t>
            </w:r>
          </w:p>
        </w:tc>
        <w:tc>
          <w:tcPr>
            <w:tcW w:w="6225" w:type="dxa"/>
            <w:tcBorders>
              <w:top w:val="single" w:color="auto" w:sz="4" w:space="0"/>
              <w:left w:val="single" w:color="auto" w:sz="4" w:space="0"/>
              <w:bottom w:val="single" w:color="auto" w:sz="4" w:space="0"/>
              <w:right w:val="single" w:color="auto" w:sz="4" w:space="0"/>
            </w:tcBorders>
            <w:vAlign w:val="center"/>
          </w:tcPr>
          <w:p w14:paraId="427626C0">
            <w:pPr>
              <w:wordWrap w:val="0"/>
              <w:topLinePunct/>
              <w:autoSpaceDE/>
              <w:autoSpaceDN/>
              <w:adjustRightInd w:val="0"/>
              <w:ind w:right="0" w:rightChars="0"/>
              <w:jc w:val="left"/>
              <w:rPr>
                <w:rFonts w:ascii="宋体" w:hAnsi="宋体"/>
                <w:color w:val="auto"/>
                <w:sz w:val="24"/>
                <w:szCs w:val="24"/>
                <w:highlight w:val="none"/>
              </w:rPr>
            </w:pPr>
            <w:r>
              <w:rPr>
                <w:rFonts w:hint="eastAsia" w:ascii="宋体" w:hAnsi="宋体"/>
                <w:color w:val="auto"/>
                <w:sz w:val="24"/>
                <w:szCs w:val="24"/>
                <w:highlight w:val="none"/>
              </w:rPr>
              <w:t>单位负责人为同一人或者存在控股、管理关系的不同单位，不得同时参加本项目政府采购活动（投标文件内附加盖供投标应商公章的“</w:t>
            </w:r>
            <w:r>
              <w:rPr>
                <w:rFonts w:hint="eastAsia" w:ascii="宋体" w:hAnsi="宋体"/>
                <w:color w:val="auto"/>
                <w:sz w:val="24"/>
                <w:szCs w:val="24"/>
                <w:highlight w:val="none"/>
                <w:lang w:eastAsia="zh-CN"/>
              </w:rPr>
              <w:t>国家企业信用信息公示系统</w:t>
            </w:r>
            <w:r>
              <w:rPr>
                <w:rFonts w:hint="eastAsia" w:ascii="宋体" w:hAnsi="宋体"/>
                <w:color w:val="auto"/>
                <w:sz w:val="24"/>
                <w:szCs w:val="24"/>
                <w:highlight w:val="none"/>
              </w:rPr>
              <w:t>”中公示的公司信息、股东或投资人信息）</w:t>
            </w:r>
          </w:p>
        </w:tc>
      </w:tr>
      <w:tr w14:paraId="57D60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828" w:type="dxa"/>
            <w:vMerge w:val="continue"/>
            <w:tcBorders>
              <w:left w:val="single" w:color="auto" w:sz="4" w:space="0"/>
              <w:right w:val="single" w:color="auto" w:sz="4" w:space="0"/>
            </w:tcBorders>
            <w:vAlign w:val="center"/>
          </w:tcPr>
          <w:p w14:paraId="023AC6D2">
            <w:pPr>
              <w:autoSpaceDE w:val="0"/>
              <w:autoSpaceDN w:val="0"/>
              <w:adjustRightInd w:val="0"/>
              <w:spacing w:line="480" w:lineRule="exact"/>
              <w:jc w:val="center"/>
              <w:rPr>
                <w:rFonts w:ascii="宋体" w:hAnsi="宋体" w:cs="宋体"/>
                <w:color w:val="auto"/>
                <w:kern w:val="0"/>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763CB1CA">
            <w:pPr>
              <w:autoSpaceDE w:val="0"/>
              <w:autoSpaceDN w:val="0"/>
              <w:adjustRightIn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信用中国、中国政府采购网查询</w:t>
            </w:r>
          </w:p>
        </w:tc>
        <w:tc>
          <w:tcPr>
            <w:tcW w:w="6225" w:type="dxa"/>
            <w:tcBorders>
              <w:top w:val="single" w:color="auto" w:sz="4" w:space="0"/>
              <w:left w:val="single" w:color="auto" w:sz="4" w:space="0"/>
              <w:bottom w:val="single" w:color="auto" w:sz="4" w:space="0"/>
              <w:right w:val="single" w:color="auto" w:sz="4" w:space="0"/>
            </w:tcBorders>
            <w:vAlign w:val="center"/>
          </w:tcPr>
          <w:p w14:paraId="65CFDE2F">
            <w:pPr>
              <w:wordWrap w:val="0"/>
              <w:topLinePunct/>
              <w:autoSpaceDE/>
              <w:autoSpaceDN/>
              <w:adjustRightInd w:val="0"/>
              <w:ind w:right="0" w:rightChars="0"/>
              <w:jc w:val="left"/>
              <w:rPr>
                <w:rFonts w:ascii="宋体" w:hAnsi="宋体" w:cs="宋体"/>
                <w:bCs/>
                <w:color w:val="auto"/>
                <w:sz w:val="24"/>
                <w:szCs w:val="24"/>
                <w:highlight w:val="none"/>
              </w:rPr>
            </w:pPr>
            <w:r>
              <w:rPr>
                <w:rFonts w:hint="eastAsia" w:ascii="宋体" w:hAnsi="宋体"/>
                <w:color w:val="auto"/>
                <w:sz w:val="24"/>
                <w:szCs w:val="24"/>
                <w:highlight w:val="none"/>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相关网页查询页截图，查询时间为本项目公告发布之后</w:t>
            </w:r>
          </w:p>
        </w:tc>
      </w:tr>
      <w:tr w14:paraId="01F6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vMerge w:val="continue"/>
            <w:tcBorders>
              <w:left w:val="single" w:color="auto" w:sz="4" w:space="0"/>
              <w:right w:val="single" w:color="auto" w:sz="4" w:space="0"/>
            </w:tcBorders>
            <w:vAlign w:val="center"/>
          </w:tcPr>
          <w:p w14:paraId="6FAC7273">
            <w:pPr>
              <w:autoSpaceDE w:val="0"/>
              <w:autoSpaceDN w:val="0"/>
              <w:adjustRightInd w:val="0"/>
              <w:spacing w:line="480" w:lineRule="exact"/>
              <w:jc w:val="center"/>
              <w:rPr>
                <w:rFonts w:ascii="宋体" w:hAnsi="宋体" w:cs="宋体"/>
                <w:color w:val="auto"/>
                <w:kern w:val="0"/>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477808D6">
            <w:pPr>
              <w:autoSpaceDE w:val="0"/>
              <w:autoSpaceDN w:val="0"/>
              <w:adjustRightIn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不接受联合体投标</w:t>
            </w:r>
          </w:p>
        </w:tc>
        <w:tc>
          <w:tcPr>
            <w:tcW w:w="6225" w:type="dxa"/>
            <w:tcBorders>
              <w:top w:val="single" w:color="auto" w:sz="4" w:space="0"/>
              <w:left w:val="single" w:color="auto" w:sz="4" w:space="0"/>
              <w:right w:val="single" w:color="auto" w:sz="4" w:space="0"/>
            </w:tcBorders>
            <w:vAlign w:val="center"/>
          </w:tcPr>
          <w:p w14:paraId="5138653B">
            <w:pPr>
              <w:autoSpaceDE w:val="0"/>
              <w:autoSpaceDN w:val="0"/>
              <w:adjustRightInd w:val="0"/>
              <w:ind w:right="-61" w:rightChars="-29"/>
              <w:jc w:val="left"/>
              <w:rPr>
                <w:rFonts w:ascii="宋体" w:hAnsi="宋体" w:cs="宋体"/>
                <w:bCs/>
                <w:color w:val="auto"/>
                <w:sz w:val="24"/>
                <w:szCs w:val="24"/>
                <w:highlight w:val="none"/>
              </w:rPr>
            </w:pPr>
            <w:r>
              <w:rPr>
                <w:rFonts w:hint="eastAsia" w:ascii="宋体" w:hAnsi="宋体" w:cs="宋体"/>
                <w:bCs/>
                <w:color w:val="auto"/>
                <w:sz w:val="24"/>
                <w:szCs w:val="24"/>
                <w:highlight w:val="none"/>
              </w:rPr>
              <w:t>本次招标不接受联合体投标</w:t>
            </w:r>
          </w:p>
        </w:tc>
      </w:tr>
      <w:tr w14:paraId="44D24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28" w:type="dxa"/>
            <w:vMerge w:val="restart"/>
            <w:tcBorders>
              <w:top w:val="single" w:color="auto" w:sz="4" w:space="0"/>
              <w:left w:val="single" w:color="auto" w:sz="4" w:space="0"/>
              <w:bottom w:val="single" w:color="auto" w:sz="4" w:space="0"/>
              <w:right w:val="single" w:color="auto" w:sz="4" w:space="0"/>
            </w:tcBorders>
            <w:vAlign w:val="center"/>
          </w:tcPr>
          <w:p w14:paraId="13015B54">
            <w:pPr>
              <w:autoSpaceDE w:val="0"/>
              <w:autoSpaceDN w:val="0"/>
              <w:adjustRightInd w:val="0"/>
              <w:spacing w:line="48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实质性响应评审标准</w:t>
            </w:r>
          </w:p>
        </w:tc>
        <w:tc>
          <w:tcPr>
            <w:tcW w:w="2302" w:type="dxa"/>
            <w:tcBorders>
              <w:top w:val="single" w:color="auto" w:sz="4" w:space="0"/>
              <w:left w:val="single" w:color="auto" w:sz="4" w:space="0"/>
              <w:bottom w:val="single" w:color="auto" w:sz="4" w:space="0"/>
              <w:right w:val="single" w:color="auto" w:sz="4" w:space="0"/>
            </w:tcBorders>
            <w:vAlign w:val="center"/>
          </w:tcPr>
          <w:p w14:paraId="59012DCB">
            <w:pPr>
              <w:autoSpaceDE w:val="0"/>
              <w:autoSpaceDN w:val="0"/>
              <w:adjustRightInd w:val="0"/>
              <w:spacing w:line="480" w:lineRule="exact"/>
              <w:jc w:val="center"/>
              <w:rPr>
                <w:rFonts w:ascii="宋体" w:hAnsi="宋体" w:cs="宋体"/>
                <w:color w:val="auto"/>
                <w:sz w:val="24"/>
                <w:highlight w:val="none"/>
              </w:rPr>
            </w:pPr>
            <w:r>
              <w:rPr>
                <w:rFonts w:hint="eastAsia" w:ascii="宋体" w:hAnsi="宋体" w:cs="宋体"/>
                <w:color w:val="auto"/>
                <w:sz w:val="24"/>
                <w:highlight w:val="none"/>
              </w:rPr>
              <w:t>交货期限</w:t>
            </w:r>
          </w:p>
        </w:tc>
        <w:tc>
          <w:tcPr>
            <w:tcW w:w="6225" w:type="dxa"/>
            <w:tcBorders>
              <w:top w:val="single" w:color="auto" w:sz="4" w:space="0"/>
              <w:left w:val="single" w:color="auto" w:sz="4" w:space="0"/>
              <w:bottom w:val="single" w:color="auto" w:sz="4" w:space="0"/>
              <w:right w:val="single" w:color="auto" w:sz="4" w:space="0"/>
            </w:tcBorders>
            <w:vAlign w:val="center"/>
          </w:tcPr>
          <w:p w14:paraId="409AC26F">
            <w:pPr>
              <w:autoSpaceDE w:val="0"/>
              <w:autoSpaceDN w:val="0"/>
              <w:adjustRightInd w:val="0"/>
              <w:ind w:right="-61" w:rightChars="-29"/>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自签订合同后45日历天内完成供货、安装及调试</w:t>
            </w:r>
          </w:p>
        </w:tc>
      </w:tr>
      <w:tr w14:paraId="4C48D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356BFCE7">
            <w:pPr>
              <w:spacing w:line="480" w:lineRule="exact"/>
              <w:rPr>
                <w:rFonts w:ascii="宋体" w:hAnsi="宋体" w:cs="宋体"/>
                <w:color w:val="auto"/>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48A8EE61">
            <w:pPr>
              <w:autoSpaceDE w:val="0"/>
              <w:autoSpaceDN w:val="0"/>
              <w:adjustRightInd w:val="0"/>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质量要求</w:t>
            </w:r>
          </w:p>
        </w:tc>
        <w:tc>
          <w:tcPr>
            <w:tcW w:w="6225" w:type="dxa"/>
            <w:tcBorders>
              <w:top w:val="single" w:color="auto" w:sz="4" w:space="0"/>
              <w:left w:val="single" w:color="auto" w:sz="4" w:space="0"/>
              <w:bottom w:val="single" w:color="auto" w:sz="4" w:space="0"/>
              <w:right w:val="single" w:color="auto" w:sz="4" w:space="0"/>
            </w:tcBorders>
            <w:vAlign w:val="center"/>
          </w:tcPr>
          <w:p w14:paraId="69137E97">
            <w:pPr>
              <w:pStyle w:val="4"/>
              <w:widowControl/>
              <w:spacing w:line="480" w:lineRule="exact"/>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符合国家或行业规定的合格标准</w:t>
            </w:r>
          </w:p>
        </w:tc>
      </w:tr>
      <w:tr w14:paraId="68454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32D0E9D9">
            <w:pPr>
              <w:spacing w:line="480" w:lineRule="exact"/>
              <w:rPr>
                <w:rFonts w:ascii="宋体" w:hAnsi="宋体" w:cs="宋体"/>
                <w:color w:val="auto"/>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3220E7EC">
            <w:pPr>
              <w:autoSpaceDE w:val="0"/>
              <w:autoSpaceDN w:val="0"/>
              <w:adjustRightInd w:val="0"/>
              <w:spacing w:line="48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质保期</w:t>
            </w:r>
          </w:p>
        </w:tc>
        <w:tc>
          <w:tcPr>
            <w:tcW w:w="6225" w:type="dxa"/>
            <w:tcBorders>
              <w:top w:val="single" w:color="auto" w:sz="4" w:space="0"/>
              <w:left w:val="single" w:color="auto" w:sz="4" w:space="0"/>
              <w:bottom w:val="single" w:color="auto" w:sz="4" w:space="0"/>
              <w:right w:val="single" w:color="auto" w:sz="4" w:space="0"/>
            </w:tcBorders>
            <w:vAlign w:val="center"/>
          </w:tcPr>
          <w:p w14:paraId="37BC3D0D">
            <w:pPr>
              <w:keepNext w:val="0"/>
              <w:keepLines w:val="0"/>
              <w:pageBreakBefore w:val="0"/>
              <w:widowControl w:val="0"/>
              <w:kinsoku/>
              <w:wordWrap w:val="0"/>
              <w:overflowPunct/>
              <w:topLinePunct/>
              <w:autoSpaceDE/>
              <w:autoSpaceDN/>
              <w:bidi w:val="0"/>
              <w:adjustRightInd w:val="0"/>
              <w:snapToGrid w:val="0"/>
              <w:spacing w:line="240" w:lineRule="auto"/>
              <w:jc w:val="lef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质保期：一、二标段：质保一年</w:t>
            </w:r>
          </w:p>
          <w:p w14:paraId="1B0D6354">
            <w:pPr>
              <w:keepNext w:val="0"/>
              <w:keepLines w:val="0"/>
              <w:pageBreakBefore w:val="0"/>
              <w:widowControl w:val="0"/>
              <w:kinsoku/>
              <w:wordWrap w:val="0"/>
              <w:overflowPunct/>
              <w:topLinePunct/>
              <w:autoSpaceDE/>
              <w:autoSpaceDN/>
              <w:bidi w:val="0"/>
              <w:adjustRightInd w:val="0"/>
              <w:snapToGrid w:val="0"/>
              <w:spacing w:line="240" w:lineRule="auto"/>
              <w:jc w:val="lef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三、四、五标段：整车质保一年，三电（电池、电机、电控）质保八年或20万公里。</w:t>
            </w:r>
          </w:p>
        </w:tc>
      </w:tr>
      <w:tr w14:paraId="228E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229FFD04">
            <w:pPr>
              <w:spacing w:line="480" w:lineRule="exact"/>
              <w:rPr>
                <w:rFonts w:ascii="宋体" w:hAnsi="宋体" w:cs="宋体"/>
                <w:color w:val="auto"/>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0D5EA778">
            <w:pPr>
              <w:autoSpaceDE w:val="0"/>
              <w:autoSpaceDN w:val="0"/>
              <w:adjustRightInd w:val="0"/>
              <w:spacing w:line="480" w:lineRule="exact"/>
              <w:jc w:val="center"/>
              <w:rPr>
                <w:rFonts w:ascii="宋体" w:hAnsi="宋体" w:cs="宋体"/>
                <w:color w:val="auto"/>
                <w:sz w:val="24"/>
                <w:highlight w:val="none"/>
              </w:rPr>
            </w:pPr>
            <w:r>
              <w:rPr>
                <w:rFonts w:hint="eastAsia" w:ascii="宋体" w:hAnsi="宋体" w:cs="宋体"/>
                <w:color w:val="auto"/>
                <w:sz w:val="24"/>
                <w:highlight w:val="none"/>
              </w:rPr>
              <w:t>投标有效期</w:t>
            </w:r>
          </w:p>
        </w:tc>
        <w:tc>
          <w:tcPr>
            <w:tcW w:w="6225" w:type="dxa"/>
            <w:tcBorders>
              <w:top w:val="single" w:color="auto" w:sz="4" w:space="0"/>
              <w:left w:val="single" w:color="auto" w:sz="4" w:space="0"/>
              <w:bottom w:val="single" w:color="auto" w:sz="4" w:space="0"/>
              <w:right w:val="single" w:color="auto" w:sz="4" w:space="0"/>
            </w:tcBorders>
            <w:vAlign w:val="center"/>
          </w:tcPr>
          <w:p w14:paraId="0032F776">
            <w:pPr>
              <w:autoSpaceDE w:val="0"/>
              <w:autoSpaceDN w:val="0"/>
              <w:adjustRightInd w:val="0"/>
              <w:spacing w:line="480" w:lineRule="exact"/>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从投标截止之日起60日历天</w:t>
            </w:r>
          </w:p>
        </w:tc>
      </w:tr>
      <w:tr w14:paraId="41DDD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1FA685FA">
            <w:pPr>
              <w:spacing w:line="480" w:lineRule="exact"/>
              <w:rPr>
                <w:rFonts w:ascii="宋体" w:hAnsi="宋体" w:cs="宋体"/>
                <w:color w:val="auto"/>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5F71D336">
            <w:pPr>
              <w:autoSpaceDE w:val="0"/>
              <w:autoSpaceDN w:val="0"/>
              <w:adjustRightInd w:val="0"/>
              <w:spacing w:line="480" w:lineRule="exact"/>
              <w:jc w:val="center"/>
              <w:rPr>
                <w:rFonts w:ascii="宋体" w:hAnsi="宋体" w:cs="宋体"/>
                <w:color w:val="auto"/>
                <w:sz w:val="24"/>
                <w:highlight w:val="none"/>
              </w:rPr>
            </w:pPr>
            <w:r>
              <w:rPr>
                <w:rFonts w:hint="eastAsia" w:ascii="宋体" w:hAnsi="宋体" w:cs="宋体"/>
                <w:color w:val="auto"/>
                <w:sz w:val="24"/>
                <w:highlight w:val="none"/>
              </w:rPr>
              <w:t>其他响应性</w:t>
            </w:r>
          </w:p>
        </w:tc>
        <w:tc>
          <w:tcPr>
            <w:tcW w:w="6225" w:type="dxa"/>
            <w:tcBorders>
              <w:top w:val="single" w:color="auto" w:sz="4" w:space="0"/>
              <w:left w:val="single" w:color="auto" w:sz="4" w:space="0"/>
              <w:bottom w:val="single" w:color="auto" w:sz="4" w:space="0"/>
              <w:right w:val="single" w:color="auto" w:sz="4" w:space="0"/>
            </w:tcBorders>
            <w:vAlign w:val="center"/>
          </w:tcPr>
          <w:p w14:paraId="4E652B62">
            <w:pPr>
              <w:autoSpaceDE w:val="0"/>
              <w:autoSpaceDN w:val="0"/>
              <w:adjustRightInd w:val="0"/>
              <w:spacing w:line="480" w:lineRule="exact"/>
              <w:jc w:val="center"/>
              <w:rPr>
                <w:rFonts w:ascii="宋体" w:hAnsi="宋体" w:cs="宋体"/>
                <w:color w:val="auto"/>
                <w:sz w:val="24"/>
                <w:highlight w:val="none"/>
              </w:rPr>
            </w:pPr>
            <w:r>
              <w:rPr>
                <w:rFonts w:hint="eastAsia" w:ascii="宋体" w:hAnsi="宋体" w:cs="宋体"/>
                <w:color w:val="auto"/>
                <w:sz w:val="24"/>
                <w:highlight w:val="none"/>
              </w:rPr>
              <w:t>满足招标文件的其他实质性要求</w:t>
            </w:r>
          </w:p>
        </w:tc>
      </w:tr>
    </w:tbl>
    <w:p w14:paraId="053FC73F">
      <w:pPr>
        <w:adjustRightInd w:val="0"/>
        <w:snapToGrid w:val="0"/>
        <w:spacing w:line="360" w:lineRule="auto"/>
        <w:ind w:firstLine="480" w:firstLineChars="200"/>
        <w:jc w:val="left"/>
        <w:outlineLvl w:val="0"/>
        <w:rPr>
          <w:rFonts w:asciiTheme="minorEastAsia" w:hAnsiTheme="minorEastAsia" w:eastAsiaTheme="minorEastAsia"/>
          <w:color w:val="auto"/>
          <w:sz w:val="24"/>
          <w:szCs w:val="24"/>
          <w:highlight w:val="none"/>
        </w:rPr>
      </w:pPr>
      <w:bookmarkStart w:id="118" w:name="_Toc17443"/>
      <w:r>
        <w:rPr>
          <w:rFonts w:asciiTheme="minorEastAsia" w:hAnsiTheme="minorEastAsia" w:eastAsiaTheme="minorEastAsia"/>
          <w:color w:val="auto"/>
          <w:sz w:val="24"/>
          <w:szCs w:val="24"/>
          <w:highlight w:val="none"/>
        </w:rPr>
        <w:t xml:space="preserve">4. </w:t>
      </w:r>
      <w:r>
        <w:rPr>
          <w:rFonts w:hint="eastAsia" w:cs="宋体" w:asciiTheme="minorEastAsia" w:hAnsiTheme="minorEastAsia" w:eastAsiaTheme="minorEastAsia"/>
          <w:color w:val="auto"/>
          <w:sz w:val="24"/>
          <w:szCs w:val="24"/>
          <w:highlight w:val="none"/>
        </w:rPr>
        <w:t>本项目评标方法采用综合评分法。</w:t>
      </w:r>
      <w:bookmarkEnd w:id="118"/>
    </w:p>
    <w:p w14:paraId="7F7F5216">
      <w:pPr>
        <w:adjustRightInd w:val="0"/>
        <w:snapToGrid w:val="0"/>
        <w:spacing w:line="360" w:lineRule="auto"/>
        <w:jc w:val="left"/>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4.1、综合评分法，是指投标文件满足招标文件初步审查要求且按照评审因素的量化指标评审得分最高的投标供应商为中标候选人的评标方法。</w:t>
      </w:r>
    </w:p>
    <w:p w14:paraId="1271D47E">
      <w:pPr>
        <w:rPr>
          <w:rFonts w:hint="eastAsia" w:cs="宋体" w:asciiTheme="minorEastAsia" w:hAnsiTheme="minorEastAsia" w:eastAsiaTheme="minorEastAsia"/>
          <w:b/>
          <w:bCs/>
          <w:color w:val="auto"/>
          <w:sz w:val="36"/>
          <w:szCs w:val="36"/>
          <w:highlight w:val="none"/>
          <w:lang w:val="en-US" w:eastAsia="zh-CN"/>
        </w:rPr>
      </w:pPr>
      <w:r>
        <w:rPr>
          <w:rFonts w:hint="eastAsia" w:cs="宋体" w:asciiTheme="minorEastAsia" w:hAnsiTheme="minorEastAsia" w:eastAsiaTheme="minorEastAsia"/>
          <w:b/>
          <w:bCs/>
          <w:color w:val="auto"/>
          <w:sz w:val="36"/>
          <w:szCs w:val="36"/>
          <w:highlight w:val="none"/>
          <w:lang w:val="en-US" w:eastAsia="zh-CN"/>
        </w:rPr>
        <w:br w:type="page"/>
      </w:r>
    </w:p>
    <w:p w14:paraId="43657F8C">
      <w:pPr>
        <w:adjustRightInd w:val="0"/>
        <w:snapToGrid w:val="0"/>
        <w:spacing w:line="360" w:lineRule="auto"/>
        <w:jc w:val="center"/>
        <w:rPr>
          <w:rFonts w:hint="default" w:cs="宋体" w:asciiTheme="minorEastAsia" w:hAnsiTheme="minorEastAsia" w:eastAsiaTheme="minorEastAsia"/>
          <w:b/>
          <w:bCs/>
          <w:color w:val="auto"/>
          <w:sz w:val="36"/>
          <w:szCs w:val="36"/>
          <w:highlight w:val="none"/>
          <w:lang w:val="en-US" w:eastAsia="zh-CN"/>
        </w:rPr>
      </w:pPr>
      <w:r>
        <w:rPr>
          <w:rFonts w:hint="eastAsia" w:cs="宋体" w:asciiTheme="minorEastAsia" w:hAnsiTheme="minorEastAsia" w:eastAsiaTheme="minorEastAsia"/>
          <w:b/>
          <w:bCs/>
          <w:color w:val="auto"/>
          <w:sz w:val="36"/>
          <w:szCs w:val="36"/>
          <w:highlight w:val="none"/>
          <w:lang w:val="en-US" w:eastAsia="zh-CN"/>
        </w:rPr>
        <w:t>一标段、二标段评分办法</w:t>
      </w:r>
    </w:p>
    <w:tbl>
      <w:tblPr>
        <w:tblStyle w:val="16"/>
        <w:tblW w:w="9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433"/>
        <w:gridCol w:w="1617"/>
        <w:gridCol w:w="5870"/>
      </w:tblGrid>
      <w:tr w14:paraId="1B55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48" w:type="dxa"/>
            <w:vAlign w:val="center"/>
          </w:tcPr>
          <w:p w14:paraId="15D15383">
            <w:pPr>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序号</w:t>
            </w:r>
          </w:p>
        </w:tc>
        <w:tc>
          <w:tcPr>
            <w:tcW w:w="1433" w:type="dxa"/>
            <w:vAlign w:val="center"/>
          </w:tcPr>
          <w:p w14:paraId="21E2E94A">
            <w:pPr>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条款号</w:t>
            </w:r>
          </w:p>
        </w:tc>
        <w:tc>
          <w:tcPr>
            <w:tcW w:w="7487" w:type="dxa"/>
            <w:gridSpan w:val="2"/>
            <w:vAlign w:val="center"/>
          </w:tcPr>
          <w:p w14:paraId="169C3CB4">
            <w:pPr>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w w:val="100"/>
                <w:sz w:val="24"/>
                <w:szCs w:val="24"/>
                <w:highlight w:val="none"/>
              </w:rPr>
              <w:t>评分因素</w:t>
            </w:r>
          </w:p>
        </w:tc>
      </w:tr>
      <w:tr w14:paraId="6D96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748" w:type="dxa"/>
            <w:vMerge w:val="restart"/>
            <w:vAlign w:val="center"/>
          </w:tcPr>
          <w:p w14:paraId="61120FFD">
            <w:pPr>
              <w:ind w:left="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w:t>
            </w:r>
          </w:p>
        </w:tc>
        <w:tc>
          <w:tcPr>
            <w:tcW w:w="1433" w:type="dxa"/>
            <w:vAlign w:val="center"/>
          </w:tcPr>
          <w:p w14:paraId="54A46ACC">
            <w:pPr>
              <w:spacing w:line="240" w:lineRule="auto"/>
              <w:ind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w:t>
            </w:r>
          </w:p>
          <w:p w14:paraId="5639C60E">
            <w:pPr>
              <w:spacing w:line="240" w:lineRule="auto"/>
              <w:jc w:val="center"/>
              <w:rPr>
                <w:rFonts w:hint="eastAsia" w:ascii="宋体" w:hAnsi="宋体" w:eastAsia="宋体" w:cs="宋体"/>
                <w:snapToGrid/>
                <w:color w:val="auto"/>
                <w:sz w:val="24"/>
                <w:szCs w:val="24"/>
                <w:highlight w:val="none"/>
              </w:rPr>
            </w:pPr>
            <w:r>
              <w:rPr>
                <w:rFonts w:hint="eastAsia" w:ascii="宋体" w:hAnsi="宋体" w:eastAsia="宋体" w:cs="宋体"/>
                <w:color w:val="auto"/>
                <w:sz w:val="24"/>
                <w:szCs w:val="24"/>
                <w:highlight w:val="none"/>
              </w:rPr>
              <w:t>(100分)</w:t>
            </w:r>
          </w:p>
        </w:tc>
        <w:tc>
          <w:tcPr>
            <w:tcW w:w="7487" w:type="dxa"/>
            <w:gridSpan w:val="2"/>
            <w:vAlign w:val="center"/>
          </w:tcPr>
          <w:p w14:paraId="0462FCB8">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投标报价：30分</w:t>
            </w:r>
          </w:p>
          <w:p w14:paraId="033D94E7">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技术评分：50分</w:t>
            </w:r>
          </w:p>
          <w:p w14:paraId="7B141E6A">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商务评分：20分</w:t>
            </w:r>
          </w:p>
        </w:tc>
      </w:tr>
      <w:tr w14:paraId="1F29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748" w:type="dxa"/>
            <w:vMerge w:val="continue"/>
            <w:vAlign w:val="center"/>
          </w:tcPr>
          <w:p w14:paraId="7E24C987">
            <w:pPr>
              <w:ind w:left="0" w:firstLine="0" w:firstLineChars="0"/>
              <w:jc w:val="center"/>
              <w:rPr>
                <w:rFonts w:hint="eastAsia" w:ascii="宋体" w:hAnsi="宋体" w:eastAsia="宋体" w:cs="宋体"/>
                <w:b w:val="0"/>
                <w:color w:val="auto"/>
                <w:sz w:val="24"/>
                <w:szCs w:val="24"/>
                <w:highlight w:val="none"/>
              </w:rPr>
            </w:pPr>
          </w:p>
        </w:tc>
        <w:tc>
          <w:tcPr>
            <w:tcW w:w="1433" w:type="dxa"/>
            <w:vAlign w:val="center"/>
          </w:tcPr>
          <w:p w14:paraId="28D2B1D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综合得分</w:t>
            </w:r>
          </w:p>
          <w:p w14:paraId="4A8A80E6">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按公式计算</w:t>
            </w:r>
          </w:p>
        </w:tc>
        <w:tc>
          <w:tcPr>
            <w:tcW w:w="7487" w:type="dxa"/>
            <w:gridSpan w:val="2"/>
            <w:vAlign w:val="center"/>
          </w:tcPr>
          <w:p w14:paraId="4D9486C9">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综合得分=投标报价得分＋技术得分＋商务得分；</w:t>
            </w:r>
          </w:p>
          <w:p w14:paraId="37BA4904">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投标供应商综合得分按下列公式计算（计算分值均保留两位小数）；</w:t>
            </w:r>
          </w:p>
        </w:tc>
      </w:tr>
      <w:tr w14:paraId="7CB09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Align w:val="center"/>
          </w:tcPr>
          <w:p w14:paraId="0974A718">
            <w:pPr>
              <w:ind w:left="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w:t>
            </w:r>
          </w:p>
        </w:tc>
        <w:tc>
          <w:tcPr>
            <w:tcW w:w="1433" w:type="dxa"/>
            <w:vAlign w:val="center"/>
          </w:tcPr>
          <w:p w14:paraId="7DAE861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报价分</w:t>
            </w:r>
          </w:p>
          <w:p w14:paraId="15CE2F65">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30分</w:t>
            </w:r>
          </w:p>
        </w:tc>
        <w:tc>
          <w:tcPr>
            <w:tcW w:w="7487" w:type="dxa"/>
            <w:gridSpan w:val="2"/>
            <w:vAlign w:val="center"/>
          </w:tcPr>
          <w:p w14:paraId="4E1181F7">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满足招标文件要求且投标价格最低的有效投标供应商投标报价为评标基准价，其报价得分为满分。其他投标供应商的报价得分统一按照下列公式计算：投标报价得分=(评标基准价／投标报价)×30（小数点后保留 2 位小数）</w:t>
            </w:r>
          </w:p>
          <w:p w14:paraId="70F3BB1A">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1.有效投标供应商是指通过初步审查的投标供应商；</w:t>
            </w:r>
          </w:p>
          <w:p w14:paraId="4A1DE6BF">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2.投标供应商的投标总报价应包含：设备价、备品备件、运至合同指定地点的运输、装卸、保险、安装调试、技术培训及各种税费等；</w:t>
            </w:r>
          </w:p>
          <w:p w14:paraId="588E15D5">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评标委员会发现投标供应商的报价明显低于其他投标报价，使得其投标报价可能低于其个别成本的，应当要求该投标供应商作出书面说明并提供相应的证明材料。投标供应商不能合理说明或者不能提供相应证明材料的，由评标委员会认定该投标供应商以低于成本报价竞标，其投标作废标处理。</w:t>
            </w:r>
          </w:p>
          <w:p w14:paraId="79368C74">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3.价格扣除：根据三财购（2022）9号《关于进一步加大政府采购支持中小企业发展有关事项的通知》的规定，本项目对小微型企业制造的产品价格给予20%的价格扣除优惠，对于中型企业产品的价格不予扣除。</w:t>
            </w:r>
          </w:p>
          <w:p w14:paraId="2FCD5708">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对于监狱企业、残疾人福利性单位，视同为小型、微型企业，其投标产品给予20%的扣除。投标供应商提供产品为节能、环保产品的，产品报价给与3%的扣除。</w:t>
            </w:r>
          </w:p>
          <w:p w14:paraId="579EAFD2">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同一供应商，中小微企业产品、监狱企业产品、残疾人福利性单位产品的价格扣除优惠只享受一次，不得重复享受。</w:t>
            </w:r>
          </w:p>
        </w:tc>
      </w:tr>
      <w:tr w14:paraId="3DD2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3" w:hRule="atLeast"/>
          <w:jc w:val="center"/>
        </w:trPr>
        <w:tc>
          <w:tcPr>
            <w:tcW w:w="748" w:type="dxa"/>
            <w:vMerge w:val="restart"/>
            <w:vAlign w:val="center"/>
          </w:tcPr>
          <w:p w14:paraId="7F6194BB">
            <w:pPr>
              <w:ind w:left="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w:t>
            </w:r>
          </w:p>
        </w:tc>
        <w:tc>
          <w:tcPr>
            <w:tcW w:w="1433" w:type="dxa"/>
            <w:vMerge w:val="restart"/>
            <w:vAlign w:val="center"/>
          </w:tcPr>
          <w:p w14:paraId="0281B559">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技术分</w:t>
            </w:r>
          </w:p>
          <w:p w14:paraId="65B19B5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（50分）</w:t>
            </w:r>
          </w:p>
        </w:tc>
        <w:tc>
          <w:tcPr>
            <w:tcW w:w="1617" w:type="dxa"/>
            <w:vAlign w:val="center"/>
          </w:tcPr>
          <w:p w14:paraId="0C0ED4BF">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技术性能</w:t>
            </w:r>
          </w:p>
          <w:p w14:paraId="76DAC730">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（15分）</w:t>
            </w:r>
          </w:p>
        </w:tc>
        <w:tc>
          <w:tcPr>
            <w:tcW w:w="5870" w:type="dxa"/>
            <w:vAlign w:val="center"/>
          </w:tcPr>
          <w:p w14:paraId="1477C8BC">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评标委员会将根据招标文件要求供应商提供的产品技术证明等文件，判断所投设备是否满足招标文件要求，若提供的货物技术证明文件与招标文件的技术要求有偏差，则该条技术指标不满足。</w:t>
            </w:r>
          </w:p>
          <w:p w14:paraId="06B3D79A">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①完全满足招标文件要求的得满分15分。</w:t>
            </w:r>
          </w:p>
          <w:p w14:paraId="62F683B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②投标产品的技术指标或功能每有一项不满足的扣1分；扣完为止。</w:t>
            </w:r>
          </w:p>
        </w:tc>
      </w:tr>
      <w:tr w14:paraId="08C6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Merge w:val="continue"/>
            <w:vAlign w:val="center"/>
          </w:tcPr>
          <w:p w14:paraId="54451788">
            <w:pPr>
              <w:ind w:left="0" w:firstLine="0" w:firstLineChars="0"/>
              <w:jc w:val="center"/>
              <w:rPr>
                <w:rFonts w:hint="eastAsia" w:ascii="宋体" w:hAnsi="宋体" w:eastAsia="宋体" w:cs="宋体"/>
                <w:b w:val="0"/>
                <w:color w:val="auto"/>
                <w:sz w:val="24"/>
                <w:szCs w:val="24"/>
                <w:highlight w:val="none"/>
              </w:rPr>
            </w:pPr>
          </w:p>
        </w:tc>
        <w:tc>
          <w:tcPr>
            <w:tcW w:w="1433" w:type="dxa"/>
            <w:vMerge w:val="continue"/>
            <w:vAlign w:val="center"/>
          </w:tcPr>
          <w:p w14:paraId="64796C56">
            <w:pPr>
              <w:spacing w:line="240" w:lineRule="auto"/>
              <w:jc w:val="center"/>
              <w:rPr>
                <w:rFonts w:hint="eastAsia" w:ascii="宋体" w:hAnsi="宋体" w:eastAsia="宋体" w:cs="宋体"/>
                <w:color w:val="auto"/>
                <w:sz w:val="24"/>
                <w:szCs w:val="24"/>
                <w:highlight w:val="none"/>
              </w:rPr>
            </w:pPr>
          </w:p>
        </w:tc>
        <w:tc>
          <w:tcPr>
            <w:tcW w:w="1617" w:type="dxa"/>
            <w:vAlign w:val="center"/>
          </w:tcPr>
          <w:p w14:paraId="70F2FB58">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供货方案</w:t>
            </w:r>
          </w:p>
          <w:p w14:paraId="17629992">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（15分）</w:t>
            </w:r>
          </w:p>
        </w:tc>
        <w:tc>
          <w:tcPr>
            <w:tcW w:w="5870" w:type="dxa"/>
            <w:vAlign w:val="center"/>
          </w:tcPr>
          <w:p w14:paraId="61903831">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根据供应商提供的供货方案进行评分，包括:①项目整体供货方案、组织安排；②人员配置及分工；③运输保障措施；④安装调试方案；⑤突发事件应急预案等内容。</w:t>
            </w:r>
          </w:p>
          <w:p w14:paraId="0F8F6E5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(1)供货方案包含上述五项内容，方案清晰完整，内容详实，有利于保障本项目履约质量，且可行性强的，得15分；</w:t>
            </w:r>
          </w:p>
          <w:p w14:paraId="01471050">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(2)供货方案包含上述五项内容，方案基本清晰完整，内容基本详实，基本保障本项目履约质量的，得10分；</w:t>
            </w:r>
          </w:p>
          <w:p w14:paraId="227900D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(3)供货方案未完全包含上述五项内容，方案粗略不清晰，内容缺少，难以保障本项目履约质量的，得5分；</w:t>
            </w:r>
          </w:p>
          <w:p w14:paraId="3A41AFA9">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(4)未提供方案或与供货方案内容不相关联的，均不得分。</w:t>
            </w:r>
          </w:p>
        </w:tc>
      </w:tr>
      <w:tr w14:paraId="10BA0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Merge w:val="continue"/>
            <w:vAlign w:val="center"/>
          </w:tcPr>
          <w:p w14:paraId="38CF2461">
            <w:pPr>
              <w:ind w:left="0" w:firstLine="0" w:firstLineChars="0"/>
              <w:jc w:val="center"/>
              <w:rPr>
                <w:rFonts w:hint="eastAsia" w:ascii="宋体" w:hAnsi="宋体" w:eastAsia="宋体" w:cs="宋体"/>
                <w:b w:val="0"/>
                <w:color w:val="auto"/>
                <w:sz w:val="24"/>
                <w:szCs w:val="24"/>
                <w:highlight w:val="none"/>
              </w:rPr>
            </w:pPr>
          </w:p>
        </w:tc>
        <w:tc>
          <w:tcPr>
            <w:tcW w:w="1433" w:type="dxa"/>
            <w:vMerge w:val="continue"/>
            <w:vAlign w:val="center"/>
          </w:tcPr>
          <w:p w14:paraId="76F9A039">
            <w:pPr>
              <w:spacing w:line="240" w:lineRule="auto"/>
              <w:jc w:val="center"/>
              <w:rPr>
                <w:rFonts w:hint="eastAsia" w:ascii="宋体" w:hAnsi="宋体" w:eastAsia="宋体" w:cs="宋体"/>
                <w:color w:val="auto"/>
                <w:sz w:val="24"/>
                <w:szCs w:val="24"/>
                <w:highlight w:val="none"/>
              </w:rPr>
            </w:pPr>
          </w:p>
        </w:tc>
        <w:tc>
          <w:tcPr>
            <w:tcW w:w="1617" w:type="dxa"/>
            <w:vAlign w:val="center"/>
          </w:tcPr>
          <w:p w14:paraId="20338445">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质量保障方案</w:t>
            </w:r>
          </w:p>
          <w:p w14:paraId="3E4513D9">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（15分）</w:t>
            </w:r>
          </w:p>
        </w:tc>
        <w:tc>
          <w:tcPr>
            <w:tcW w:w="5870" w:type="dxa"/>
            <w:vAlign w:val="center"/>
          </w:tcPr>
          <w:p w14:paraId="05826B77">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供应商提供的货物质量保障措施进行评分，包括:①货物质量标准；②检验流程；③包装规范要求；④质量保证承诺及措施；⑤质量保障管理体系等内容。</w:t>
            </w:r>
          </w:p>
          <w:p w14:paraId="1A4F4841">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(1)质量保障方案包含上述五项内容，方案清晰完整，内容详实，有利于保障产品质量，且可行性强的，得15分；</w:t>
            </w:r>
          </w:p>
          <w:p w14:paraId="4804D127">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(2)质量保障方案包含上述五项内容，方案基本清晰完整，内容基本详实，基本保障产品质量的，得10分；</w:t>
            </w:r>
          </w:p>
          <w:p w14:paraId="17E6BDF8">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(3)质量保障方案未完全包含上述五项内容，方案粗略不清晰内容缺少，难以保障产品质量的，得5分；</w:t>
            </w:r>
          </w:p>
          <w:p w14:paraId="373CC0EF">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(4)未提供方案或与质量保障内容不相关联的，均不得分。</w:t>
            </w:r>
          </w:p>
        </w:tc>
      </w:tr>
      <w:tr w14:paraId="16FD8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48" w:type="dxa"/>
            <w:vMerge w:val="continue"/>
            <w:vAlign w:val="center"/>
          </w:tcPr>
          <w:p w14:paraId="44EB837C">
            <w:pPr>
              <w:ind w:left="0" w:firstLine="0" w:firstLineChars="0"/>
              <w:jc w:val="center"/>
              <w:rPr>
                <w:rFonts w:hint="eastAsia" w:ascii="宋体" w:hAnsi="宋体" w:eastAsia="宋体" w:cs="宋体"/>
                <w:b w:val="0"/>
                <w:color w:val="auto"/>
                <w:sz w:val="24"/>
                <w:szCs w:val="24"/>
                <w:highlight w:val="none"/>
              </w:rPr>
            </w:pPr>
          </w:p>
        </w:tc>
        <w:tc>
          <w:tcPr>
            <w:tcW w:w="1433" w:type="dxa"/>
            <w:vMerge w:val="continue"/>
            <w:vAlign w:val="center"/>
          </w:tcPr>
          <w:p w14:paraId="7A5E9F87">
            <w:pPr>
              <w:spacing w:line="240" w:lineRule="auto"/>
              <w:jc w:val="center"/>
              <w:rPr>
                <w:rFonts w:hint="eastAsia" w:ascii="宋体" w:hAnsi="宋体" w:eastAsia="宋体" w:cs="宋体"/>
                <w:color w:val="auto"/>
                <w:sz w:val="24"/>
                <w:szCs w:val="24"/>
                <w:highlight w:val="none"/>
              </w:rPr>
            </w:pPr>
          </w:p>
        </w:tc>
        <w:tc>
          <w:tcPr>
            <w:tcW w:w="1617" w:type="dxa"/>
            <w:vAlign w:val="center"/>
          </w:tcPr>
          <w:p w14:paraId="5E885DD1">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培训方案</w:t>
            </w:r>
          </w:p>
          <w:p w14:paraId="5F12C683">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（5分）</w:t>
            </w:r>
          </w:p>
        </w:tc>
        <w:tc>
          <w:tcPr>
            <w:tcW w:w="5870" w:type="dxa"/>
            <w:vAlign w:val="center"/>
          </w:tcPr>
          <w:p w14:paraId="1A93310A">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结合项目需求，投标人为客户提供免费的技术培训，保证使用单位能熟练操作维护和正常使用，并进行简单故障排查处理，方案包含培训内容和时间、培训方式、培训考核办法和培训人员情况等打分：</w:t>
            </w:r>
          </w:p>
          <w:p w14:paraId="031C8885">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（1）投标人提供的方案、内容针对性强，计划方案、方式设置完善详细的得5分；</w:t>
            </w:r>
          </w:p>
          <w:p w14:paraId="6D05462B">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（2）投标人提供的方案、内容针对性不强 ，计划方案、方式设置不详细的得3分；</w:t>
            </w:r>
          </w:p>
          <w:p w14:paraId="2007E0B2">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（3）投标人提供的方案、内容缺失不完善的得1分；</w:t>
            </w:r>
          </w:p>
          <w:p w14:paraId="37F135BF">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注：未提供相应方案的不得分。</w:t>
            </w:r>
          </w:p>
        </w:tc>
      </w:tr>
      <w:tr w14:paraId="124C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48" w:type="dxa"/>
            <w:vMerge w:val="restart"/>
            <w:vAlign w:val="center"/>
          </w:tcPr>
          <w:p w14:paraId="4473E6C8">
            <w:pPr>
              <w:ind w:left="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w:t>
            </w:r>
          </w:p>
        </w:tc>
        <w:tc>
          <w:tcPr>
            <w:tcW w:w="1433" w:type="dxa"/>
            <w:vMerge w:val="restart"/>
            <w:vAlign w:val="center"/>
          </w:tcPr>
          <w:p w14:paraId="0F027C6C">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商务分</w:t>
            </w:r>
          </w:p>
          <w:p w14:paraId="11F1501F">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20分</w:t>
            </w:r>
          </w:p>
        </w:tc>
        <w:tc>
          <w:tcPr>
            <w:tcW w:w="1617" w:type="dxa"/>
            <w:vAlign w:val="center"/>
          </w:tcPr>
          <w:p w14:paraId="10C04E4E">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企业业绩</w:t>
            </w:r>
          </w:p>
          <w:p w14:paraId="37DB3428">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（4分）</w:t>
            </w:r>
          </w:p>
        </w:tc>
        <w:tc>
          <w:tcPr>
            <w:tcW w:w="5870" w:type="dxa"/>
            <w:vAlign w:val="center"/>
          </w:tcPr>
          <w:p w14:paraId="4EB2F1FB">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投标供应商或制造商2022年1月1日以来（以合同签订时间为准）具有类似业绩的，每有一项得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分，最多得4分（注：业绩需附合同、中标公告网页截图、中标通知书，否则不计分）。</w:t>
            </w:r>
          </w:p>
        </w:tc>
      </w:tr>
      <w:tr w14:paraId="082DD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0" w:hRule="atLeast"/>
          <w:jc w:val="center"/>
        </w:trPr>
        <w:tc>
          <w:tcPr>
            <w:tcW w:w="748" w:type="dxa"/>
            <w:vMerge w:val="continue"/>
            <w:vAlign w:val="center"/>
          </w:tcPr>
          <w:p w14:paraId="55D25B38">
            <w:pPr>
              <w:ind w:left="0" w:firstLine="0" w:firstLineChars="0"/>
              <w:jc w:val="left"/>
              <w:rPr>
                <w:rFonts w:hint="eastAsia" w:ascii="宋体" w:hAnsi="宋体" w:eastAsia="宋体" w:cs="宋体"/>
                <w:b w:val="0"/>
                <w:color w:val="auto"/>
                <w:sz w:val="24"/>
                <w:szCs w:val="24"/>
                <w:highlight w:val="none"/>
              </w:rPr>
            </w:pPr>
          </w:p>
        </w:tc>
        <w:tc>
          <w:tcPr>
            <w:tcW w:w="1433" w:type="dxa"/>
            <w:vMerge w:val="continue"/>
            <w:vAlign w:val="center"/>
          </w:tcPr>
          <w:p w14:paraId="0AEB9C3C">
            <w:pPr>
              <w:spacing w:line="240" w:lineRule="auto"/>
              <w:rPr>
                <w:rFonts w:hint="eastAsia" w:ascii="宋体" w:hAnsi="宋体" w:eastAsia="宋体" w:cs="宋体"/>
                <w:color w:val="auto"/>
                <w:sz w:val="24"/>
                <w:szCs w:val="24"/>
                <w:highlight w:val="none"/>
              </w:rPr>
            </w:pPr>
          </w:p>
        </w:tc>
        <w:tc>
          <w:tcPr>
            <w:tcW w:w="1617" w:type="dxa"/>
            <w:vAlign w:val="center"/>
          </w:tcPr>
          <w:p w14:paraId="0F364667">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质保及其他优惠条件</w:t>
            </w:r>
          </w:p>
          <w:p w14:paraId="2353B2C6">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（6分）</w:t>
            </w:r>
          </w:p>
        </w:tc>
        <w:tc>
          <w:tcPr>
            <w:tcW w:w="5870" w:type="dxa"/>
            <w:vAlign w:val="top"/>
          </w:tcPr>
          <w:p w14:paraId="41BDF21E">
            <w:pPr>
              <w:spacing w:line="360" w:lineRule="auto"/>
              <w:jc w:val="left"/>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一标段、二标段：</w:t>
            </w:r>
          </w:p>
          <w:p w14:paraId="7E8CB5D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1.投标人在质保1年的基础上，增加1年质保期加</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p>
          <w:p w14:paraId="5B81B2AF">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2、结合项目需求，根据投标人提供的其他优惠条件和合理化建议进行打分，投标人针对本项目提供其他优惠条件（包括保养、维修响应等）和合理化建议合理</w:t>
            </w:r>
          </w:p>
          <w:p w14:paraId="463219E1">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（1）投标人提供的方案、内容针对性强，方案、方式设置完善详细的得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p>
          <w:p w14:paraId="5CF3B656">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（2）投标人提供的方案、内容针对性不强 ，方案、方式设置不详细的得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p>
          <w:p w14:paraId="699AA26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注：未提供相应方案的不得分。</w:t>
            </w:r>
          </w:p>
        </w:tc>
      </w:tr>
      <w:tr w14:paraId="280D1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748" w:type="dxa"/>
            <w:vMerge w:val="continue"/>
            <w:vAlign w:val="center"/>
          </w:tcPr>
          <w:p w14:paraId="52249420">
            <w:pPr>
              <w:ind w:left="0" w:firstLine="0" w:firstLineChars="0"/>
              <w:jc w:val="left"/>
              <w:rPr>
                <w:rFonts w:hint="eastAsia" w:ascii="宋体" w:hAnsi="宋体" w:eastAsia="宋体" w:cs="宋体"/>
                <w:b w:val="0"/>
                <w:color w:val="auto"/>
                <w:sz w:val="24"/>
                <w:szCs w:val="24"/>
                <w:highlight w:val="none"/>
              </w:rPr>
            </w:pPr>
          </w:p>
        </w:tc>
        <w:tc>
          <w:tcPr>
            <w:tcW w:w="1433" w:type="dxa"/>
            <w:vMerge w:val="continue"/>
            <w:vAlign w:val="center"/>
          </w:tcPr>
          <w:p w14:paraId="2059E89F">
            <w:pPr>
              <w:spacing w:line="240" w:lineRule="auto"/>
              <w:rPr>
                <w:rFonts w:hint="eastAsia" w:ascii="宋体" w:hAnsi="宋体" w:eastAsia="宋体" w:cs="宋体"/>
                <w:color w:val="auto"/>
                <w:sz w:val="24"/>
                <w:szCs w:val="24"/>
                <w:highlight w:val="none"/>
              </w:rPr>
            </w:pPr>
          </w:p>
        </w:tc>
        <w:tc>
          <w:tcPr>
            <w:tcW w:w="1617" w:type="dxa"/>
            <w:vAlign w:val="center"/>
          </w:tcPr>
          <w:p w14:paraId="203BAFBF">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售后服务方案(0-10分)</w:t>
            </w:r>
          </w:p>
        </w:tc>
        <w:tc>
          <w:tcPr>
            <w:tcW w:w="5870" w:type="dxa"/>
            <w:vAlign w:val="center"/>
          </w:tcPr>
          <w:p w14:paraId="6F8EC9CB">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供应商提供的售后服务保障措施进行评分，包括:①售后服务范围:②售后服务承诺及响应时效；③售后服务机构及售后技术人员配置；④售后回访及问题处理措施；⑤质量检查及配合完成验收工作等内容。</w:t>
            </w:r>
          </w:p>
          <w:p w14:paraId="16DB228B">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(1)售后服务方案包含上述五项内容，方案清晰完整，内容详实，有利于保障本项目履约质量，且可行性强的，得10分；</w:t>
            </w:r>
          </w:p>
          <w:p w14:paraId="1338D08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(2)质量保障方案包含上述五项内容，方案基本清晰完整，内容基本详实，基本保障本项目履约质量的，得5分；</w:t>
            </w:r>
          </w:p>
          <w:p w14:paraId="25B64734">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(3)质量保障方案未完全包含上述五项内容，方案粗略不清晰内容缺少，难以保障本项目履约质量的，得3分；</w:t>
            </w:r>
          </w:p>
          <w:p w14:paraId="387E370F">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(4)未提供方案或与售后方案内容不相关联的，均不得分。</w:t>
            </w:r>
          </w:p>
        </w:tc>
      </w:tr>
      <w:tr w14:paraId="3224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668" w:type="dxa"/>
            <w:gridSpan w:val="4"/>
            <w:vAlign w:val="center"/>
          </w:tcPr>
          <w:p w14:paraId="62369181">
            <w:pPr>
              <w:jc w:val="left"/>
              <w:rPr>
                <w:rFonts w:hint="eastAsia"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注：本项目为电子化评标，所有证明、证件、证书等均以投标文件为准。同时，供应商须自行完善主体信息库资料。</w:t>
            </w:r>
          </w:p>
        </w:tc>
      </w:tr>
    </w:tbl>
    <w:p w14:paraId="6034C78A">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47263CC6">
      <w:pPr>
        <w:adjustRightInd w:val="0"/>
        <w:snapToGrid w:val="0"/>
        <w:spacing w:line="360" w:lineRule="auto"/>
        <w:jc w:val="center"/>
        <w:rPr>
          <w:rFonts w:hint="default" w:cs="宋体" w:asciiTheme="minorEastAsia" w:hAnsiTheme="minorEastAsia" w:eastAsiaTheme="minorEastAsia"/>
          <w:b/>
          <w:bCs/>
          <w:color w:val="auto"/>
          <w:sz w:val="36"/>
          <w:szCs w:val="36"/>
          <w:highlight w:val="none"/>
          <w:lang w:val="en-US" w:eastAsia="zh-CN"/>
        </w:rPr>
      </w:pPr>
      <w:r>
        <w:rPr>
          <w:rFonts w:hint="eastAsia" w:cs="宋体" w:asciiTheme="minorEastAsia" w:hAnsiTheme="minorEastAsia" w:eastAsiaTheme="minorEastAsia"/>
          <w:b/>
          <w:bCs/>
          <w:color w:val="auto"/>
          <w:sz w:val="36"/>
          <w:szCs w:val="36"/>
          <w:highlight w:val="none"/>
          <w:lang w:val="en-US" w:eastAsia="zh-CN"/>
        </w:rPr>
        <w:t>三标段、四标段、五标段评分办法</w:t>
      </w:r>
    </w:p>
    <w:tbl>
      <w:tblPr>
        <w:tblStyle w:val="16"/>
        <w:tblW w:w="9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433"/>
        <w:gridCol w:w="1617"/>
        <w:gridCol w:w="5870"/>
      </w:tblGrid>
      <w:tr w14:paraId="5DB4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48" w:type="dxa"/>
            <w:vAlign w:val="center"/>
          </w:tcPr>
          <w:p w14:paraId="26EE3A16">
            <w:pPr>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序号</w:t>
            </w:r>
          </w:p>
        </w:tc>
        <w:tc>
          <w:tcPr>
            <w:tcW w:w="1433" w:type="dxa"/>
            <w:vAlign w:val="center"/>
          </w:tcPr>
          <w:p w14:paraId="62090154">
            <w:pPr>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条款号</w:t>
            </w:r>
          </w:p>
        </w:tc>
        <w:tc>
          <w:tcPr>
            <w:tcW w:w="7487" w:type="dxa"/>
            <w:gridSpan w:val="2"/>
            <w:vAlign w:val="center"/>
          </w:tcPr>
          <w:p w14:paraId="479143A6">
            <w:pPr>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w w:val="100"/>
                <w:sz w:val="24"/>
                <w:szCs w:val="24"/>
                <w:highlight w:val="none"/>
              </w:rPr>
              <w:t>评分因素</w:t>
            </w:r>
          </w:p>
        </w:tc>
      </w:tr>
      <w:tr w14:paraId="6C6FE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748" w:type="dxa"/>
            <w:vMerge w:val="restart"/>
            <w:vAlign w:val="center"/>
          </w:tcPr>
          <w:p w14:paraId="6DD3EE23">
            <w:pPr>
              <w:ind w:left="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w:t>
            </w:r>
          </w:p>
        </w:tc>
        <w:tc>
          <w:tcPr>
            <w:tcW w:w="1433" w:type="dxa"/>
            <w:vAlign w:val="center"/>
          </w:tcPr>
          <w:p w14:paraId="4CEF6047">
            <w:pPr>
              <w:spacing w:line="240" w:lineRule="auto"/>
              <w:ind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w:t>
            </w:r>
          </w:p>
          <w:p w14:paraId="422D11EC">
            <w:pPr>
              <w:spacing w:line="240" w:lineRule="auto"/>
              <w:jc w:val="center"/>
              <w:rPr>
                <w:rFonts w:hint="eastAsia" w:ascii="宋体" w:hAnsi="宋体" w:eastAsia="宋体" w:cs="宋体"/>
                <w:snapToGrid/>
                <w:color w:val="auto"/>
                <w:sz w:val="24"/>
                <w:szCs w:val="24"/>
                <w:highlight w:val="none"/>
              </w:rPr>
            </w:pPr>
            <w:r>
              <w:rPr>
                <w:rFonts w:hint="eastAsia" w:ascii="宋体" w:hAnsi="宋体" w:eastAsia="宋体" w:cs="宋体"/>
                <w:color w:val="auto"/>
                <w:sz w:val="24"/>
                <w:szCs w:val="24"/>
                <w:highlight w:val="none"/>
              </w:rPr>
              <w:t>(100分)</w:t>
            </w:r>
          </w:p>
        </w:tc>
        <w:tc>
          <w:tcPr>
            <w:tcW w:w="7487" w:type="dxa"/>
            <w:gridSpan w:val="2"/>
            <w:vAlign w:val="center"/>
          </w:tcPr>
          <w:p w14:paraId="77FDCB5B">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投标报价：30分</w:t>
            </w:r>
          </w:p>
          <w:p w14:paraId="76110488">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技术评分：50分</w:t>
            </w:r>
          </w:p>
          <w:p w14:paraId="67D2BBA0">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商务评分：20分</w:t>
            </w:r>
          </w:p>
        </w:tc>
      </w:tr>
      <w:tr w14:paraId="3FD90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748" w:type="dxa"/>
            <w:vMerge w:val="continue"/>
            <w:vAlign w:val="center"/>
          </w:tcPr>
          <w:p w14:paraId="04B73D8E">
            <w:pPr>
              <w:ind w:left="0" w:firstLine="0" w:firstLineChars="0"/>
              <w:jc w:val="center"/>
              <w:rPr>
                <w:rFonts w:hint="eastAsia" w:ascii="宋体" w:hAnsi="宋体" w:eastAsia="宋体" w:cs="宋体"/>
                <w:b w:val="0"/>
                <w:color w:val="auto"/>
                <w:sz w:val="24"/>
                <w:szCs w:val="24"/>
                <w:highlight w:val="none"/>
              </w:rPr>
            </w:pPr>
          </w:p>
        </w:tc>
        <w:tc>
          <w:tcPr>
            <w:tcW w:w="1433" w:type="dxa"/>
            <w:vAlign w:val="center"/>
          </w:tcPr>
          <w:p w14:paraId="448300F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综合得分</w:t>
            </w:r>
          </w:p>
          <w:p w14:paraId="6DBC78B7">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按公式计算</w:t>
            </w:r>
          </w:p>
        </w:tc>
        <w:tc>
          <w:tcPr>
            <w:tcW w:w="7487" w:type="dxa"/>
            <w:gridSpan w:val="2"/>
            <w:vAlign w:val="center"/>
          </w:tcPr>
          <w:p w14:paraId="7C713B78">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综合得分=投标报价得分＋技术得分＋商务得分；</w:t>
            </w:r>
          </w:p>
          <w:p w14:paraId="6D0EA33F">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投标供应商综合得分按下列公式计算（计算分值均保留两位小数）；</w:t>
            </w:r>
          </w:p>
        </w:tc>
      </w:tr>
      <w:tr w14:paraId="1E73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Align w:val="center"/>
          </w:tcPr>
          <w:p w14:paraId="32077C2E">
            <w:pPr>
              <w:ind w:left="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w:t>
            </w:r>
          </w:p>
        </w:tc>
        <w:tc>
          <w:tcPr>
            <w:tcW w:w="1433" w:type="dxa"/>
            <w:vAlign w:val="center"/>
          </w:tcPr>
          <w:p w14:paraId="482D2B4A">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报价分</w:t>
            </w:r>
          </w:p>
          <w:p w14:paraId="2D9C5A1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30分</w:t>
            </w:r>
          </w:p>
        </w:tc>
        <w:tc>
          <w:tcPr>
            <w:tcW w:w="7487" w:type="dxa"/>
            <w:gridSpan w:val="2"/>
            <w:vAlign w:val="center"/>
          </w:tcPr>
          <w:p w14:paraId="1EE2C2A1">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满足招标文件要求且投标价格最低的有效投标供应商投标报价为评标基准价，其报价得分为满分。其他投标供应商的报价得分统一按照下列公式计算：投标报价得分=(评标基准价／投标报价)×30（小数点后保留 2 位小数）</w:t>
            </w:r>
          </w:p>
          <w:p w14:paraId="2DF710C0">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1.有效投标供应商是指通过初步审查的投标供应商；</w:t>
            </w:r>
          </w:p>
          <w:p w14:paraId="460EC442">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2.投标供应商的投标总报价应包含：设备价、备品备件、运至合同指定地点的运输、装卸、保险、安装调试、技术培训及各种税费等；</w:t>
            </w:r>
          </w:p>
          <w:p w14:paraId="74838DD4">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评标委员会发现投标供应商的报价明显低于其他投标报价，使得其投标报价可能低于其个别成本的，应当要求该投标供应商作出书面说明并提供相应的证明材料。投标供应商不能合理说明或者不能提供相应证明材料的，由评标委员会认定该投标供应商以低于成本报价竞标，其投标作废标处理。</w:t>
            </w:r>
          </w:p>
          <w:p w14:paraId="156EC127">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3.价格扣除：根据三财购（2022）9号《关于进一步加大政府采购支持中小企业发展有关事项的通知》的规定，本项目对小微型企业制造的产品价格给予20%的价格扣除优惠，对于中型企业产品的价格不予扣除。</w:t>
            </w:r>
          </w:p>
          <w:p w14:paraId="182DB467">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对于监狱企业、残疾人福利性单位，视同为小型、微型企业，其投标产品给予20%的扣除。投标供应商提供产品为节能、环保产品的，产品报价给与3%的扣除。</w:t>
            </w:r>
          </w:p>
          <w:p w14:paraId="2BA49753">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同一供应商，中小微企业产品、监狱企业产品、残疾人福利性单位产品的价格扣除优惠只享受一次，不得重复享受。</w:t>
            </w:r>
          </w:p>
        </w:tc>
      </w:tr>
      <w:tr w14:paraId="14AC6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3" w:hRule="atLeast"/>
          <w:jc w:val="center"/>
        </w:trPr>
        <w:tc>
          <w:tcPr>
            <w:tcW w:w="748" w:type="dxa"/>
            <w:vMerge w:val="restart"/>
            <w:vAlign w:val="center"/>
          </w:tcPr>
          <w:p w14:paraId="6426EB4A">
            <w:pPr>
              <w:ind w:left="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w:t>
            </w:r>
          </w:p>
        </w:tc>
        <w:tc>
          <w:tcPr>
            <w:tcW w:w="1433" w:type="dxa"/>
            <w:vMerge w:val="restart"/>
            <w:vAlign w:val="center"/>
          </w:tcPr>
          <w:p w14:paraId="01168560">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技术分</w:t>
            </w:r>
          </w:p>
          <w:p w14:paraId="112AB5CD">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（50分）</w:t>
            </w:r>
          </w:p>
        </w:tc>
        <w:tc>
          <w:tcPr>
            <w:tcW w:w="1617" w:type="dxa"/>
            <w:vAlign w:val="center"/>
          </w:tcPr>
          <w:p w14:paraId="462EB021">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技术性能</w:t>
            </w:r>
          </w:p>
          <w:p w14:paraId="5ABB4892">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（15分）</w:t>
            </w:r>
          </w:p>
        </w:tc>
        <w:tc>
          <w:tcPr>
            <w:tcW w:w="5870" w:type="dxa"/>
            <w:vAlign w:val="center"/>
          </w:tcPr>
          <w:p w14:paraId="6EE117C9">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评标委员会将根据招标文件要求供应商提供的产品技术证明等文件，判断所投设备是否满足招标文件要求，若提供的货物技术证明文件与招标文件的技术要求有偏差，则该条技术指标不满足。</w:t>
            </w:r>
          </w:p>
          <w:p w14:paraId="381FA2F6">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①完全满足招标文件要求的得满分15分。</w:t>
            </w:r>
          </w:p>
          <w:p w14:paraId="7F5ED66A">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②投标产品的技术指标或功能每有一项不满足的扣1分；扣完为止。</w:t>
            </w:r>
          </w:p>
        </w:tc>
      </w:tr>
      <w:tr w14:paraId="3BEED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Merge w:val="continue"/>
            <w:vAlign w:val="center"/>
          </w:tcPr>
          <w:p w14:paraId="3AC66148">
            <w:pPr>
              <w:ind w:left="0" w:firstLine="0" w:firstLineChars="0"/>
              <w:jc w:val="center"/>
              <w:rPr>
                <w:rFonts w:hint="eastAsia" w:ascii="宋体" w:hAnsi="宋体" w:eastAsia="宋体" w:cs="宋体"/>
                <w:b w:val="0"/>
                <w:color w:val="auto"/>
                <w:sz w:val="24"/>
                <w:szCs w:val="24"/>
                <w:highlight w:val="none"/>
              </w:rPr>
            </w:pPr>
          </w:p>
        </w:tc>
        <w:tc>
          <w:tcPr>
            <w:tcW w:w="1433" w:type="dxa"/>
            <w:vMerge w:val="continue"/>
            <w:vAlign w:val="center"/>
          </w:tcPr>
          <w:p w14:paraId="04C0C7C8">
            <w:pPr>
              <w:spacing w:line="240" w:lineRule="auto"/>
              <w:jc w:val="center"/>
              <w:rPr>
                <w:rFonts w:hint="eastAsia" w:ascii="宋体" w:hAnsi="宋体" w:eastAsia="宋体" w:cs="宋体"/>
                <w:color w:val="auto"/>
                <w:sz w:val="24"/>
                <w:szCs w:val="24"/>
                <w:highlight w:val="none"/>
              </w:rPr>
            </w:pPr>
          </w:p>
        </w:tc>
        <w:tc>
          <w:tcPr>
            <w:tcW w:w="1617" w:type="dxa"/>
            <w:vAlign w:val="center"/>
          </w:tcPr>
          <w:p w14:paraId="4D879D67">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供货方案</w:t>
            </w:r>
          </w:p>
          <w:p w14:paraId="477D3E78">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（15分）</w:t>
            </w:r>
          </w:p>
        </w:tc>
        <w:tc>
          <w:tcPr>
            <w:tcW w:w="5870" w:type="dxa"/>
            <w:vAlign w:val="center"/>
          </w:tcPr>
          <w:p w14:paraId="1C7896D1">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根据供应商提供的供货方案进行评分，包括:①项目整体供货方案、组织安排；②人员配置及分工；③运输保障措施；④安装调试方案；⑤突发事件应急预案等内容。</w:t>
            </w:r>
          </w:p>
          <w:p w14:paraId="541C5BA6">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(1)供货方案包含上述五项内容，方案清晰完整，内容详实，有利于保障本项目履约质量，且可行性强的，得15分；</w:t>
            </w:r>
          </w:p>
          <w:p w14:paraId="3F8DC1B4">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(2)供货方案包含上述五项内容，方案基本清晰完整，内容基本详实，基本保障本项目履约质量的，得10分；</w:t>
            </w:r>
          </w:p>
          <w:p w14:paraId="7C8A803F">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(3)供货方案未完全包含上述五项内容，方案粗略不清晰，内容缺少，难以保障本项目履约质量的，得5分；</w:t>
            </w:r>
          </w:p>
          <w:p w14:paraId="2BBC28DC">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(4)未提供方案或与供货方案内容不相关联的，均不得分。</w:t>
            </w:r>
          </w:p>
        </w:tc>
      </w:tr>
      <w:tr w14:paraId="4631B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Merge w:val="continue"/>
            <w:vAlign w:val="center"/>
          </w:tcPr>
          <w:p w14:paraId="5B3C9ED6">
            <w:pPr>
              <w:ind w:left="0" w:firstLine="0" w:firstLineChars="0"/>
              <w:jc w:val="center"/>
              <w:rPr>
                <w:rFonts w:hint="eastAsia" w:ascii="宋体" w:hAnsi="宋体" w:eastAsia="宋体" w:cs="宋体"/>
                <w:b w:val="0"/>
                <w:color w:val="auto"/>
                <w:sz w:val="24"/>
                <w:szCs w:val="24"/>
                <w:highlight w:val="none"/>
              </w:rPr>
            </w:pPr>
          </w:p>
        </w:tc>
        <w:tc>
          <w:tcPr>
            <w:tcW w:w="1433" w:type="dxa"/>
            <w:vMerge w:val="continue"/>
            <w:vAlign w:val="center"/>
          </w:tcPr>
          <w:p w14:paraId="3CBBD910">
            <w:pPr>
              <w:spacing w:line="240" w:lineRule="auto"/>
              <w:jc w:val="center"/>
              <w:rPr>
                <w:rFonts w:hint="eastAsia" w:ascii="宋体" w:hAnsi="宋体" w:eastAsia="宋体" w:cs="宋体"/>
                <w:color w:val="auto"/>
                <w:sz w:val="24"/>
                <w:szCs w:val="24"/>
                <w:highlight w:val="none"/>
              </w:rPr>
            </w:pPr>
          </w:p>
        </w:tc>
        <w:tc>
          <w:tcPr>
            <w:tcW w:w="1617" w:type="dxa"/>
            <w:vAlign w:val="center"/>
          </w:tcPr>
          <w:p w14:paraId="0F8DAFC4">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质量保障方案</w:t>
            </w:r>
          </w:p>
          <w:p w14:paraId="6B4901B9">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（15分）</w:t>
            </w:r>
          </w:p>
        </w:tc>
        <w:tc>
          <w:tcPr>
            <w:tcW w:w="5870" w:type="dxa"/>
            <w:vAlign w:val="center"/>
          </w:tcPr>
          <w:p w14:paraId="24833BC1">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供应商提供的货物质量保障措施进行评分，包括:①货物质量标准；②检验流程；③包装规范要求；④质量保证承诺及措施；⑤质量保障管理体系等内容。</w:t>
            </w:r>
          </w:p>
          <w:p w14:paraId="5F71BF7B">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(1)质量保障方案包含上述五项内容，方案清晰完整，内容详实，有利于保障产品质量，且可行性强的，得15分；</w:t>
            </w:r>
          </w:p>
          <w:p w14:paraId="7ADDFD17">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(2)质量保障方案包含上述五项内容，方案基本清晰完整，内容基本详实，基本保障产品质量的，得10分；</w:t>
            </w:r>
          </w:p>
          <w:p w14:paraId="1EB51C20">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(3)质量保障方案未完全包含上述五项内容，方案粗略不清晰内容缺少，难以保障产品质量的，得5分；</w:t>
            </w:r>
          </w:p>
          <w:p w14:paraId="346BCF6B">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(4)未提供方案或与质量保障内容不相关联的，均不得分。</w:t>
            </w:r>
          </w:p>
        </w:tc>
      </w:tr>
      <w:tr w14:paraId="28B62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48" w:type="dxa"/>
            <w:vMerge w:val="continue"/>
            <w:vAlign w:val="center"/>
          </w:tcPr>
          <w:p w14:paraId="0A879EA5">
            <w:pPr>
              <w:ind w:left="0" w:firstLine="0" w:firstLineChars="0"/>
              <w:jc w:val="center"/>
              <w:rPr>
                <w:rFonts w:hint="eastAsia" w:ascii="宋体" w:hAnsi="宋体" w:eastAsia="宋体" w:cs="宋体"/>
                <w:b w:val="0"/>
                <w:color w:val="auto"/>
                <w:sz w:val="24"/>
                <w:szCs w:val="24"/>
                <w:highlight w:val="none"/>
              </w:rPr>
            </w:pPr>
          </w:p>
        </w:tc>
        <w:tc>
          <w:tcPr>
            <w:tcW w:w="1433" w:type="dxa"/>
            <w:vMerge w:val="continue"/>
            <w:vAlign w:val="center"/>
          </w:tcPr>
          <w:p w14:paraId="509FA948">
            <w:pPr>
              <w:spacing w:line="240" w:lineRule="auto"/>
              <w:jc w:val="center"/>
              <w:rPr>
                <w:rFonts w:hint="eastAsia" w:ascii="宋体" w:hAnsi="宋体" w:eastAsia="宋体" w:cs="宋体"/>
                <w:color w:val="auto"/>
                <w:sz w:val="24"/>
                <w:szCs w:val="24"/>
                <w:highlight w:val="none"/>
              </w:rPr>
            </w:pPr>
          </w:p>
        </w:tc>
        <w:tc>
          <w:tcPr>
            <w:tcW w:w="1617" w:type="dxa"/>
            <w:vAlign w:val="center"/>
          </w:tcPr>
          <w:p w14:paraId="3274C81A">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培训方案</w:t>
            </w:r>
          </w:p>
          <w:p w14:paraId="37FE08B8">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（5分）</w:t>
            </w:r>
          </w:p>
        </w:tc>
        <w:tc>
          <w:tcPr>
            <w:tcW w:w="5870" w:type="dxa"/>
            <w:vAlign w:val="center"/>
          </w:tcPr>
          <w:p w14:paraId="022F5A12">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结合项目需求，投标人为客户提供免费的技术培训，保证使用单位能熟练操作维护和正常使用，并进行简单故障排查处理，方案包含培训内容和时间、培训方式、培训考核办法和培训人员情况等打分：</w:t>
            </w:r>
          </w:p>
          <w:p w14:paraId="680CA877">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（1）投标人提供的方案、内容针对性强，计划方案、方式设置完善详细的得5分；</w:t>
            </w:r>
          </w:p>
          <w:p w14:paraId="0000A12E">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（2）投标人提供的方案、内容针对性不强 ，计划方案、方式设置不详细的得3分；</w:t>
            </w:r>
          </w:p>
          <w:p w14:paraId="0460A06A">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（3）投标人提供的方案、内容缺失不完善的得1分；</w:t>
            </w:r>
          </w:p>
          <w:p w14:paraId="6444DE04">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注：未提供相应方案的不得分。</w:t>
            </w:r>
          </w:p>
        </w:tc>
      </w:tr>
      <w:tr w14:paraId="2DC0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48" w:type="dxa"/>
            <w:vMerge w:val="restart"/>
            <w:vAlign w:val="center"/>
          </w:tcPr>
          <w:p w14:paraId="096EA2B4">
            <w:pPr>
              <w:ind w:left="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w:t>
            </w:r>
          </w:p>
        </w:tc>
        <w:tc>
          <w:tcPr>
            <w:tcW w:w="1433" w:type="dxa"/>
            <w:vMerge w:val="restart"/>
            <w:vAlign w:val="center"/>
          </w:tcPr>
          <w:p w14:paraId="4DC9C98D">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商务分</w:t>
            </w:r>
          </w:p>
          <w:p w14:paraId="6304D52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20分</w:t>
            </w:r>
          </w:p>
        </w:tc>
        <w:tc>
          <w:tcPr>
            <w:tcW w:w="1617" w:type="dxa"/>
            <w:vAlign w:val="center"/>
          </w:tcPr>
          <w:p w14:paraId="4DB1033F">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企业业绩</w:t>
            </w:r>
          </w:p>
          <w:p w14:paraId="0844F8E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（4分）</w:t>
            </w:r>
          </w:p>
        </w:tc>
        <w:tc>
          <w:tcPr>
            <w:tcW w:w="5870" w:type="dxa"/>
            <w:vAlign w:val="center"/>
          </w:tcPr>
          <w:p w14:paraId="4B700CEF">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投标供应商或制造商2022年1月1日以来（以合同签订时间为准）具有类似业绩的，每有一项得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分，最多得4分（注：业绩需附合同、中标公告网页截图、中标通知书，否则不计分）。</w:t>
            </w:r>
          </w:p>
        </w:tc>
      </w:tr>
      <w:tr w14:paraId="339B5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748" w:type="dxa"/>
            <w:vMerge w:val="continue"/>
            <w:vAlign w:val="center"/>
          </w:tcPr>
          <w:p w14:paraId="186C00D3">
            <w:pPr>
              <w:ind w:left="0" w:firstLine="0" w:firstLineChars="0"/>
              <w:jc w:val="left"/>
              <w:rPr>
                <w:rFonts w:hint="eastAsia" w:ascii="宋体" w:hAnsi="宋体" w:eastAsia="宋体" w:cs="宋体"/>
                <w:b w:val="0"/>
                <w:color w:val="auto"/>
                <w:sz w:val="24"/>
                <w:szCs w:val="24"/>
                <w:highlight w:val="none"/>
              </w:rPr>
            </w:pPr>
          </w:p>
        </w:tc>
        <w:tc>
          <w:tcPr>
            <w:tcW w:w="1433" w:type="dxa"/>
            <w:vMerge w:val="continue"/>
            <w:vAlign w:val="center"/>
          </w:tcPr>
          <w:p w14:paraId="7F258550">
            <w:pPr>
              <w:spacing w:line="240" w:lineRule="auto"/>
              <w:rPr>
                <w:rFonts w:hint="eastAsia" w:ascii="宋体" w:hAnsi="宋体" w:eastAsia="宋体" w:cs="宋体"/>
                <w:color w:val="auto"/>
                <w:sz w:val="24"/>
                <w:szCs w:val="24"/>
                <w:highlight w:val="none"/>
              </w:rPr>
            </w:pPr>
          </w:p>
        </w:tc>
        <w:tc>
          <w:tcPr>
            <w:tcW w:w="1617" w:type="dxa"/>
            <w:vAlign w:val="center"/>
          </w:tcPr>
          <w:p w14:paraId="7D41896A">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质保及其他优惠条件</w:t>
            </w:r>
          </w:p>
          <w:p w14:paraId="32D59798">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（6分）</w:t>
            </w:r>
          </w:p>
        </w:tc>
        <w:tc>
          <w:tcPr>
            <w:tcW w:w="5870" w:type="dxa"/>
            <w:vAlign w:val="top"/>
          </w:tcPr>
          <w:p w14:paraId="7260719B">
            <w:pPr>
              <w:spacing w:line="360" w:lineRule="auto"/>
              <w:jc w:val="left"/>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三标段、四标段、五标段：</w:t>
            </w:r>
          </w:p>
          <w:p w14:paraId="1418F4D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1.投标人在整车质保1年的基础上，每增加1年质保期加1分，最多加2分。</w:t>
            </w:r>
          </w:p>
          <w:p w14:paraId="18490D36">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2、投标人“三电”系统（电池、电机、电控）满足质保期为</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年或20万公里的基础上，每增加1年或5万公里加1分，最多加2分。</w:t>
            </w:r>
          </w:p>
          <w:p w14:paraId="407B9B84">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3、结合项目需求，根据投标人提供的其他优惠条件和合理化建议进行打分，投标人针对本项目提供其他优惠条件（包括保养、维修响应等）和合理化建议合理</w:t>
            </w:r>
          </w:p>
          <w:p w14:paraId="494812EE">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（1）投标人提供的方案、内容针对性强，方案、方式设置完善详细的得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p>
          <w:p w14:paraId="549CFAF0">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（2）投标人提供的方案、内容针对性不强 ，方案、方式设置不详细的得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w:t>
            </w:r>
          </w:p>
          <w:p w14:paraId="2C109009">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注：未提供相应方案的不得分。</w:t>
            </w:r>
          </w:p>
        </w:tc>
      </w:tr>
      <w:tr w14:paraId="0934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748" w:type="dxa"/>
            <w:vMerge w:val="continue"/>
            <w:vAlign w:val="center"/>
          </w:tcPr>
          <w:p w14:paraId="55605E31">
            <w:pPr>
              <w:ind w:left="0" w:firstLine="0" w:firstLineChars="0"/>
              <w:jc w:val="left"/>
              <w:rPr>
                <w:rFonts w:hint="eastAsia" w:ascii="宋体" w:hAnsi="宋体" w:eastAsia="宋体" w:cs="宋体"/>
                <w:b w:val="0"/>
                <w:color w:val="auto"/>
                <w:sz w:val="24"/>
                <w:szCs w:val="24"/>
                <w:highlight w:val="none"/>
              </w:rPr>
            </w:pPr>
          </w:p>
        </w:tc>
        <w:tc>
          <w:tcPr>
            <w:tcW w:w="1433" w:type="dxa"/>
            <w:vMerge w:val="continue"/>
            <w:vAlign w:val="center"/>
          </w:tcPr>
          <w:p w14:paraId="2746CA8F">
            <w:pPr>
              <w:spacing w:line="240" w:lineRule="auto"/>
              <w:rPr>
                <w:rFonts w:hint="eastAsia" w:ascii="宋体" w:hAnsi="宋体" w:eastAsia="宋体" w:cs="宋体"/>
                <w:color w:val="auto"/>
                <w:sz w:val="24"/>
                <w:szCs w:val="24"/>
                <w:highlight w:val="none"/>
              </w:rPr>
            </w:pPr>
          </w:p>
        </w:tc>
        <w:tc>
          <w:tcPr>
            <w:tcW w:w="1617" w:type="dxa"/>
            <w:vAlign w:val="center"/>
          </w:tcPr>
          <w:p w14:paraId="768D1DEE">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售后服务方案(0-10分)</w:t>
            </w:r>
          </w:p>
        </w:tc>
        <w:tc>
          <w:tcPr>
            <w:tcW w:w="5870" w:type="dxa"/>
            <w:vAlign w:val="center"/>
          </w:tcPr>
          <w:p w14:paraId="73C35FE0">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供应商提供的售后服务保障措施进行评分，包括:①售后服务范围:②售后服务承诺及响应时效；③售后服务机构及售后技术人员配置；④售后回访及问题处理措施；⑤质量检查及配合完成验收工作等内容。</w:t>
            </w:r>
          </w:p>
          <w:p w14:paraId="300916E3">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(1)售后服务方案包含上述五项内容，方案清晰完整，内容详实，有利于保障本项目履约质量，且可行性强的，得10分；</w:t>
            </w:r>
          </w:p>
          <w:p w14:paraId="55490038">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(2)质量保障方案包含上述五项内容，方案基本清晰完整，内容基本详实，基本保障本项目履约质量的，得5分；</w:t>
            </w:r>
          </w:p>
          <w:p w14:paraId="5590E5DA">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(3)质量保障方案未完全包含上述五项内容，方案粗略不清晰内容缺少，难以保障本项目履约质量的，得3分；</w:t>
            </w:r>
          </w:p>
          <w:p w14:paraId="1F0F9555">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(4)未提供方案或与售后方案内容不相关联的，均不得分。</w:t>
            </w:r>
          </w:p>
        </w:tc>
      </w:tr>
      <w:tr w14:paraId="6E401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668" w:type="dxa"/>
            <w:gridSpan w:val="4"/>
            <w:vAlign w:val="center"/>
          </w:tcPr>
          <w:p w14:paraId="68F09826">
            <w:pPr>
              <w:jc w:val="left"/>
              <w:rPr>
                <w:rFonts w:hint="eastAsia"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注：本项目为电子化评标，所有证明、证件、证书等均以投标文件为准。同时，供应商须自行完善主体信息库资料。</w:t>
            </w:r>
          </w:p>
        </w:tc>
      </w:tr>
    </w:tbl>
    <w:p w14:paraId="2B49B3ED">
      <w:pPr>
        <w:spacing w:line="460" w:lineRule="exact"/>
        <w:ind w:firstLine="520" w:firstLineChars="217"/>
        <w:jc w:val="left"/>
        <w:rPr>
          <w:rFonts w:ascii="宋体" w:hAnsi="宋体" w:cs="宋体"/>
          <w:color w:val="auto"/>
          <w:sz w:val="24"/>
          <w:szCs w:val="24"/>
          <w:highlight w:val="none"/>
        </w:rPr>
      </w:pPr>
      <w:r>
        <w:rPr>
          <w:rFonts w:hint="eastAsia" w:ascii="宋体" w:hAnsi="宋体" w:cs="宋体"/>
          <w:color w:val="auto"/>
          <w:sz w:val="24"/>
          <w:szCs w:val="24"/>
          <w:highlight w:val="none"/>
        </w:rPr>
        <w:t>4.2、评分分值计算保留小数点后两位，小数点后第三位“四舍五入”。</w:t>
      </w:r>
    </w:p>
    <w:p w14:paraId="22AA5C57">
      <w:pPr>
        <w:spacing w:line="460" w:lineRule="exact"/>
        <w:ind w:firstLine="520" w:firstLineChars="217"/>
        <w:jc w:val="left"/>
        <w:rPr>
          <w:rFonts w:ascii="宋体" w:hAnsi="宋体" w:cs="宋体"/>
          <w:color w:val="auto"/>
          <w:sz w:val="24"/>
          <w:szCs w:val="24"/>
          <w:highlight w:val="none"/>
        </w:rPr>
      </w:pPr>
      <w:r>
        <w:rPr>
          <w:rFonts w:hint="eastAsia" w:ascii="宋体" w:hAnsi="宋体" w:cs="宋体"/>
          <w:color w:val="auto"/>
          <w:sz w:val="24"/>
          <w:szCs w:val="24"/>
          <w:highlight w:val="none"/>
        </w:rPr>
        <w:t>4.3、在评标过程中，凡遇到招标文件中无界定或界定不清、前后不一致使</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成员意见有分歧且又难以协商一致的问题，均由</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 xml:space="preserve">成员投票予以表决，少数服从多数原则确定。 </w:t>
      </w:r>
    </w:p>
    <w:p w14:paraId="4A8CCBD2">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4.4、</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完成评审后，向采购人出具评审报告。</w:t>
      </w:r>
    </w:p>
    <w:p w14:paraId="461B2F61">
      <w:pPr>
        <w:spacing w:line="480" w:lineRule="exact"/>
        <w:jc w:val="left"/>
        <w:outlineLvl w:val="0"/>
        <w:rPr>
          <w:rFonts w:ascii="宋体" w:hAnsi="宋体" w:cs="宋体"/>
          <w:b/>
          <w:bCs/>
          <w:color w:val="auto"/>
          <w:sz w:val="24"/>
          <w:szCs w:val="24"/>
          <w:highlight w:val="none"/>
        </w:rPr>
      </w:pPr>
      <w:bookmarkStart w:id="119" w:name="_Toc23905"/>
      <w:r>
        <w:rPr>
          <w:rFonts w:hint="eastAsia" w:ascii="宋体" w:hAnsi="宋体" w:cs="宋体"/>
          <w:b/>
          <w:bCs/>
          <w:color w:val="auto"/>
          <w:sz w:val="24"/>
          <w:szCs w:val="24"/>
          <w:highlight w:val="none"/>
        </w:rPr>
        <w:t>5.招标程序</w:t>
      </w:r>
      <w:bookmarkEnd w:id="119"/>
      <w:r>
        <w:rPr>
          <w:rFonts w:hint="eastAsia" w:ascii="宋体" w:hAnsi="宋体" w:cs="宋体"/>
          <w:b/>
          <w:bCs/>
          <w:color w:val="auto"/>
          <w:sz w:val="24"/>
          <w:szCs w:val="24"/>
          <w:highlight w:val="none"/>
        </w:rPr>
        <w:t xml:space="preserve"> </w:t>
      </w:r>
    </w:p>
    <w:p w14:paraId="117F2071">
      <w:pPr>
        <w:spacing w:line="480" w:lineRule="exact"/>
        <w:ind w:firstLine="482" w:firstLineChars="200"/>
        <w:jc w:val="left"/>
        <w:outlineLvl w:val="1"/>
        <w:rPr>
          <w:rFonts w:ascii="宋体" w:hAnsi="宋体" w:cs="宋体"/>
          <w:b/>
          <w:bCs/>
          <w:color w:val="auto"/>
          <w:sz w:val="24"/>
          <w:szCs w:val="24"/>
          <w:highlight w:val="none"/>
        </w:rPr>
      </w:pPr>
      <w:bookmarkStart w:id="120" w:name="_Toc23931"/>
      <w:r>
        <w:rPr>
          <w:rFonts w:hint="eastAsia" w:ascii="宋体" w:hAnsi="宋体" w:cs="宋体"/>
          <w:b/>
          <w:bCs/>
          <w:color w:val="auto"/>
          <w:sz w:val="24"/>
          <w:szCs w:val="24"/>
          <w:highlight w:val="none"/>
        </w:rPr>
        <w:t>5.1 初步评审</w:t>
      </w:r>
      <w:bookmarkEnd w:id="120"/>
      <w:r>
        <w:rPr>
          <w:rFonts w:hint="eastAsia" w:ascii="宋体" w:hAnsi="宋体" w:cs="宋体"/>
          <w:b/>
          <w:bCs/>
          <w:color w:val="auto"/>
          <w:sz w:val="24"/>
          <w:szCs w:val="24"/>
          <w:highlight w:val="none"/>
        </w:rPr>
        <w:t xml:space="preserve"> </w:t>
      </w:r>
    </w:p>
    <w:p w14:paraId="4539A213">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5.1.1 </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应该以供应商上传主体库的有关证明和证件的原件扫描件为准，进行核验。</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查阅投标文件中相关资料原件的扫描件，审查供应商该资料原件是否已在三门峡市公共资源交易供应商（供应商）主体库中登记且内容一致。</w:t>
      </w:r>
    </w:p>
    <w:p w14:paraId="0674CC5C">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5.1.2</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依据本章</w:t>
      </w:r>
      <w:r>
        <w:rPr>
          <w:rFonts w:hint="eastAsia" w:ascii="宋体" w:hAnsi="宋体" w:cs="宋体"/>
          <w:bCs/>
          <w:color w:val="auto"/>
          <w:sz w:val="24"/>
          <w:szCs w:val="24"/>
          <w:highlight w:val="none"/>
        </w:rPr>
        <w:t>评标办法前附表</w:t>
      </w:r>
      <w:r>
        <w:rPr>
          <w:rFonts w:hint="eastAsia" w:ascii="宋体" w:hAnsi="宋体" w:cs="宋体"/>
          <w:color w:val="auto"/>
          <w:sz w:val="24"/>
          <w:szCs w:val="24"/>
          <w:highlight w:val="none"/>
        </w:rPr>
        <w:t xml:space="preserve">规定的标准对投标文件进行初步评审。有一项不符合评审标准的，作无效标处理。 </w:t>
      </w:r>
    </w:p>
    <w:p w14:paraId="52DAA7CF">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5.1.3供应商有以下情形之一的，其投标文件作无效标处理： </w:t>
      </w:r>
    </w:p>
    <w:p w14:paraId="6A6B9DB5">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（1）串通招标或弄虚作假或有其他违法行为的； </w:t>
      </w:r>
    </w:p>
    <w:p w14:paraId="0D021E85">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（2）不按</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 xml:space="preserve">要求澄清、说明或补正的。 </w:t>
      </w:r>
    </w:p>
    <w:p w14:paraId="7CBBB694">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5.1.4招标报价有算术错误的，</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 xml:space="preserve">按以下原则对招标报价进行修正，修正的价格经供应商确认后具有约束力。供应商不接受修正价格的，其投标文件可作废标处理。 </w:t>
      </w:r>
    </w:p>
    <w:p w14:paraId="3F915C06">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（1）投标文件中的大写金额与小写金额不一致的，以大写金额为准； </w:t>
      </w:r>
    </w:p>
    <w:p w14:paraId="13CF9CBC">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（2）总价金额与依据单价计算出的结果不一致的，以单价金额为准修正总价，但单价金额小数点有明显错误的除外。 </w:t>
      </w:r>
    </w:p>
    <w:p w14:paraId="3E2A7102">
      <w:pPr>
        <w:spacing w:line="460" w:lineRule="exact"/>
        <w:ind w:firstLine="482" w:firstLineChars="200"/>
        <w:jc w:val="left"/>
        <w:outlineLvl w:val="1"/>
        <w:rPr>
          <w:rFonts w:ascii="宋体" w:hAnsi="宋体" w:cs="宋体"/>
          <w:b/>
          <w:bCs/>
          <w:color w:val="auto"/>
          <w:sz w:val="24"/>
          <w:szCs w:val="24"/>
          <w:highlight w:val="none"/>
        </w:rPr>
      </w:pPr>
      <w:bookmarkStart w:id="121" w:name="_Toc21536"/>
      <w:r>
        <w:rPr>
          <w:rFonts w:hint="eastAsia" w:ascii="宋体" w:hAnsi="宋体" w:cs="宋体"/>
          <w:b/>
          <w:bCs/>
          <w:color w:val="auto"/>
          <w:sz w:val="24"/>
          <w:szCs w:val="24"/>
          <w:highlight w:val="none"/>
        </w:rPr>
        <w:t>5.2详细评审</w:t>
      </w:r>
      <w:bookmarkEnd w:id="121"/>
      <w:r>
        <w:rPr>
          <w:rFonts w:hint="eastAsia" w:ascii="宋体" w:hAnsi="宋体" w:cs="宋体"/>
          <w:b/>
          <w:bCs/>
          <w:color w:val="auto"/>
          <w:sz w:val="24"/>
          <w:szCs w:val="24"/>
          <w:highlight w:val="none"/>
        </w:rPr>
        <w:t xml:space="preserve"> </w:t>
      </w:r>
    </w:p>
    <w:p w14:paraId="13614E22">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5.2.1</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 xml:space="preserve">按本章评标办法前附表规定的量化因素和分值进行打分，并计算出综合评估得分。 </w:t>
      </w:r>
    </w:p>
    <w:p w14:paraId="371F02C8">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5.2.2在评审过程中，</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发现供应商的投标报价明显低于其他供应商的报价，并有可能低于其企业成本的，则</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可以要求该供应商作出说明并提供相关证明材料。供应商不能合理说明或不能提供相关证明材料的，经</w:t>
      </w:r>
      <w:r>
        <w:rPr>
          <w:rFonts w:hint="eastAsia" w:ascii="宋体" w:hAnsi="宋体" w:cs="宋体"/>
          <w:color w:val="auto"/>
          <w:sz w:val="24"/>
          <w:szCs w:val="24"/>
          <w:highlight w:val="none"/>
          <w:lang w:eastAsia="zh-CN"/>
        </w:rPr>
        <w:t>评标委员会</w:t>
      </w:r>
      <w:r>
        <w:rPr>
          <w:rFonts w:hint="eastAsia" w:ascii="宋体" w:hAnsi="宋体" w:cs="宋体"/>
          <w:color w:val="auto"/>
          <w:spacing w:val="6"/>
          <w:sz w:val="24"/>
          <w:highlight w:val="none"/>
        </w:rPr>
        <w:t>小组认定，属于恶性竞标的，可以按废标处理；评标委员会将不对无效响应文件或废标的供应商进行评审或打分。</w:t>
      </w:r>
    </w:p>
    <w:p w14:paraId="261D4B4D">
      <w:pPr>
        <w:spacing w:line="460" w:lineRule="exact"/>
        <w:ind w:firstLine="482" w:firstLineChars="200"/>
        <w:jc w:val="left"/>
        <w:outlineLvl w:val="1"/>
        <w:rPr>
          <w:rFonts w:ascii="宋体" w:hAnsi="宋体" w:cs="宋体"/>
          <w:b/>
          <w:bCs/>
          <w:color w:val="auto"/>
          <w:sz w:val="24"/>
          <w:szCs w:val="24"/>
          <w:highlight w:val="none"/>
        </w:rPr>
      </w:pPr>
      <w:bookmarkStart w:id="122" w:name="_Toc15364"/>
      <w:r>
        <w:rPr>
          <w:rFonts w:hint="eastAsia" w:ascii="宋体" w:hAnsi="宋体" w:cs="宋体"/>
          <w:b/>
          <w:bCs/>
          <w:color w:val="auto"/>
          <w:sz w:val="24"/>
          <w:szCs w:val="24"/>
          <w:highlight w:val="none"/>
        </w:rPr>
        <w:t>5.3招标文件的澄清和补正</w:t>
      </w:r>
      <w:bookmarkEnd w:id="122"/>
      <w:r>
        <w:rPr>
          <w:rFonts w:hint="eastAsia" w:ascii="宋体" w:hAnsi="宋体" w:cs="宋体"/>
          <w:b/>
          <w:bCs/>
          <w:color w:val="auto"/>
          <w:sz w:val="24"/>
          <w:szCs w:val="24"/>
          <w:highlight w:val="none"/>
        </w:rPr>
        <w:t xml:space="preserve"> </w:t>
      </w:r>
    </w:p>
    <w:p w14:paraId="736FD9E9">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5.3.1在招标过程中，</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可以要求供应商对所提交投标文件中不明确的内容进行澄清或说明，或者对细微偏差进行补正。</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 xml:space="preserve">不接受供应商主动提出的澄清、说明或补正。 </w:t>
      </w:r>
    </w:p>
    <w:p w14:paraId="3B43A26A">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5.3.2澄清、说明和补正不得改变投标文件的实质性内容（算术性错误修正的除外）。供应商的澄清、说明和补正属于投标文件的组成部分。 </w:t>
      </w:r>
    </w:p>
    <w:p w14:paraId="1FE5B39C">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5.3.3</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对供应商提交的澄清、说明或补正有疑问的，可以要求供应商进一步澄清、说明或补正，直至满足</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 xml:space="preserve">的要求。 </w:t>
      </w:r>
    </w:p>
    <w:p w14:paraId="4BF0C8E7">
      <w:pPr>
        <w:spacing w:line="460" w:lineRule="exact"/>
        <w:ind w:firstLine="482" w:firstLineChars="200"/>
        <w:jc w:val="left"/>
        <w:outlineLvl w:val="1"/>
        <w:rPr>
          <w:rFonts w:ascii="宋体" w:hAnsi="宋体" w:cs="宋体"/>
          <w:b/>
          <w:bCs/>
          <w:color w:val="auto"/>
          <w:sz w:val="24"/>
          <w:szCs w:val="24"/>
          <w:highlight w:val="none"/>
        </w:rPr>
      </w:pPr>
      <w:bookmarkStart w:id="123" w:name="_Toc20176"/>
      <w:r>
        <w:rPr>
          <w:rFonts w:hint="eastAsia" w:ascii="宋体" w:hAnsi="宋体" w:cs="宋体"/>
          <w:b/>
          <w:bCs/>
          <w:color w:val="auto"/>
          <w:sz w:val="24"/>
          <w:szCs w:val="24"/>
          <w:highlight w:val="none"/>
        </w:rPr>
        <w:t>5.4、计分办法</w:t>
      </w:r>
      <w:bookmarkEnd w:id="123"/>
    </w:p>
    <w:p w14:paraId="497392AE">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根据招标文件、投标文件，按照评分办法，得出每个评委对响应单位的评标分数。响应单位的最终得分为所有评委对其打分的算术平均值。计分过程按四舍五入取至小数点后两位，最终得分取至小数点后二位。</w:t>
      </w:r>
    </w:p>
    <w:p w14:paraId="78CBB6F6">
      <w:pPr>
        <w:spacing w:line="460" w:lineRule="exact"/>
        <w:ind w:firstLine="482" w:firstLineChars="200"/>
        <w:jc w:val="left"/>
        <w:outlineLvl w:val="1"/>
        <w:rPr>
          <w:rFonts w:ascii="宋体" w:hAnsi="宋体" w:cs="宋体"/>
          <w:b/>
          <w:bCs/>
          <w:color w:val="auto"/>
          <w:sz w:val="24"/>
          <w:szCs w:val="24"/>
          <w:highlight w:val="none"/>
        </w:rPr>
      </w:pPr>
      <w:bookmarkStart w:id="124" w:name="_Toc27955"/>
      <w:r>
        <w:rPr>
          <w:rFonts w:hint="eastAsia" w:ascii="宋体" w:hAnsi="宋体" w:cs="宋体"/>
          <w:b/>
          <w:bCs/>
          <w:color w:val="auto"/>
          <w:sz w:val="24"/>
          <w:szCs w:val="24"/>
          <w:highlight w:val="none"/>
        </w:rPr>
        <w:t>5.5  招标结果</w:t>
      </w:r>
      <w:bookmarkEnd w:id="124"/>
    </w:p>
    <w:p w14:paraId="67C6F944">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按照得分由高到低的顺序推荐3名中标候选人。</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完成招标后，应当向采购人提交招标报告。</w:t>
      </w:r>
    </w:p>
    <w:p w14:paraId="2BC360FB">
      <w:pPr>
        <w:spacing w:line="460" w:lineRule="exact"/>
        <w:ind w:firstLine="482" w:firstLineChars="200"/>
        <w:jc w:val="left"/>
        <w:outlineLvl w:val="1"/>
        <w:rPr>
          <w:rFonts w:ascii="宋体" w:hAnsi="宋体" w:cs="宋体"/>
          <w:b/>
          <w:bCs/>
          <w:color w:val="auto"/>
          <w:sz w:val="24"/>
          <w:szCs w:val="24"/>
          <w:highlight w:val="none"/>
        </w:rPr>
      </w:pPr>
      <w:bookmarkStart w:id="125" w:name="_Toc11040"/>
      <w:r>
        <w:rPr>
          <w:rFonts w:hint="eastAsia" w:ascii="宋体" w:hAnsi="宋体" w:cs="宋体"/>
          <w:b/>
          <w:bCs/>
          <w:color w:val="auto"/>
          <w:sz w:val="24"/>
          <w:szCs w:val="24"/>
          <w:highlight w:val="none"/>
        </w:rPr>
        <w:t>5.6 定标办法</w:t>
      </w:r>
      <w:bookmarkEnd w:id="125"/>
    </w:p>
    <w:p w14:paraId="6EF9C729">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应当根据供应商最终得分由高到低的顺序推荐1-3名成交候选供应商，出具招标评审报告。</w:t>
      </w:r>
    </w:p>
    <w:p w14:paraId="2905ADA7">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最终得分相同的，按照最后报价由低到高的顺序推荐。最终得分和最后报价均相同的，按照技术指标优劣顺序或</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举手表决，少数服从多数的原则推荐。</w:t>
      </w:r>
    </w:p>
    <w:p w14:paraId="2482F34E">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（2）采购人按</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写出招标报告确定排序第一的响应单位为成交人。</w:t>
      </w:r>
    </w:p>
    <w:p w14:paraId="10524D39">
      <w:pPr>
        <w:spacing w:line="460" w:lineRule="exact"/>
        <w:ind w:firstLine="480" w:firstLineChars="200"/>
        <w:jc w:val="left"/>
        <w:rPr>
          <w:color w:val="auto"/>
          <w:highlight w:val="none"/>
        </w:rPr>
      </w:pPr>
      <w:r>
        <w:rPr>
          <w:rFonts w:hint="eastAsia" w:ascii="宋体" w:hAnsi="宋体" w:cs="宋体"/>
          <w:color w:val="auto"/>
          <w:sz w:val="24"/>
          <w:szCs w:val="24"/>
          <w:highlight w:val="none"/>
        </w:rPr>
        <w:t>（3）成交供应商拒绝签订政府采购合同的，采购人可以按照“财库【2014】214号”文第二十八条第二款规定的原则确定其他供应商作为成交供应商并签订政府采购合同，也可以重新开展采购活动。拒绝签订政府采购合同的成交供应商不得参加对该项目重新开展的采购活动。</w:t>
      </w:r>
    </w:p>
    <w:p w14:paraId="1F1353DB">
      <w:pPr>
        <w:spacing w:line="440" w:lineRule="exact"/>
        <w:ind w:right="-57" w:rightChars="-27"/>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14:paraId="4936DC23">
      <w:pPr>
        <w:pStyle w:val="2"/>
        <w:rPr>
          <w:color w:val="auto"/>
          <w:highlight w:val="none"/>
        </w:rPr>
      </w:pPr>
      <w:bookmarkStart w:id="126" w:name="_Toc29887"/>
      <w:bookmarkStart w:id="127" w:name="_Toc3527"/>
      <w:r>
        <w:rPr>
          <w:rFonts w:hint="eastAsia"/>
          <w:color w:val="auto"/>
          <w:highlight w:val="none"/>
        </w:rPr>
        <w:t xml:space="preserve">第六章 </w:t>
      </w:r>
      <w:r>
        <w:rPr>
          <w:rFonts w:hint="eastAsia"/>
          <w:color w:val="auto"/>
          <w:highlight w:val="none"/>
          <w:lang w:val="en-US" w:eastAsia="zh-CN"/>
        </w:rPr>
        <w:t xml:space="preserve"> </w:t>
      </w:r>
      <w:r>
        <w:rPr>
          <w:rFonts w:hint="eastAsia"/>
          <w:color w:val="auto"/>
          <w:highlight w:val="none"/>
        </w:rPr>
        <w:t>投标文件格式</w:t>
      </w:r>
      <w:bookmarkEnd w:id="126"/>
      <w:bookmarkEnd w:id="127"/>
    </w:p>
    <w:p w14:paraId="40678F52">
      <w:pPr>
        <w:widowControl/>
        <w:snapToGrid w:val="0"/>
        <w:spacing w:line="360" w:lineRule="auto"/>
        <w:ind w:right="-340" w:rightChars="-162"/>
        <w:rPr>
          <w:rFonts w:ascii="宋体" w:hAnsi="宋体" w:cs="宋体"/>
          <w:b/>
          <w:color w:val="auto"/>
          <w:kern w:val="0"/>
          <w:sz w:val="44"/>
          <w:szCs w:val="44"/>
          <w:highlight w:val="none"/>
        </w:rPr>
      </w:pPr>
    </w:p>
    <w:p w14:paraId="769FA2AE">
      <w:pPr>
        <w:widowControl/>
        <w:snapToGrid w:val="0"/>
        <w:spacing w:line="360" w:lineRule="auto"/>
        <w:ind w:right="-340" w:rightChars="-162"/>
        <w:jc w:val="center"/>
        <w:outlineLvl w:val="0"/>
        <w:rPr>
          <w:rFonts w:ascii="宋体" w:hAnsi="宋体" w:cs="宋体"/>
          <w:b/>
          <w:color w:val="auto"/>
          <w:kern w:val="0"/>
          <w:sz w:val="52"/>
          <w:szCs w:val="52"/>
          <w:highlight w:val="none"/>
          <w:u w:val="single"/>
        </w:rPr>
      </w:pPr>
      <w:r>
        <w:rPr>
          <w:rFonts w:hint="eastAsia" w:ascii="宋体" w:hAnsi="宋体" w:cs="宋体"/>
          <w:b/>
          <w:color w:val="auto"/>
          <w:kern w:val="0"/>
          <w:sz w:val="52"/>
          <w:szCs w:val="52"/>
          <w:highlight w:val="none"/>
          <w:u w:val="single"/>
        </w:rPr>
        <w:t xml:space="preserve">            </w:t>
      </w:r>
      <w:bookmarkStart w:id="128" w:name="_Toc6522"/>
      <w:r>
        <w:rPr>
          <w:rFonts w:hint="eastAsia" w:ascii="宋体" w:hAnsi="宋体" w:cs="宋体"/>
          <w:b/>
          <w:color w:val="auto"/>
          <w:kern w:val="0"/>
          <w:sz w:val="52"/>
          <w:szCs w:val="52"/>
          <w:highlight w:val="none"/>
          <w:u w:val="single"/>
        </w:rPr>
        <w:t>（项目名称）</w:t>
      </w:r>
      <w:bookmarkEnd w:id="128"/>
    </w:p>
    <w:p w14:paraId="2A9C58D3">
      <w:pPr>
        <w:pStyle w:val="19"/>
        <w:jc w:val="center"/>
        <w:rPr>
          <w:rFonts w:hAnsi="宋体"/>
          <w:color w:val="auto"/>
          <w:highlight w:val="none"/>
        </w:rPr>
      </w:pPr>
      <w:r>
        <w:rPr>
          <w:rFonts w:hint="eastAsia" w:hAnsi="宋体" w:cs="黑体"/>
          <w:color w:val="auto"/>
          <w:sz w:val="28"/>
          <w:szCs w:val="28"/>
          <w:highlight w:val="none"/>
        </w:rPr>
        <w:t>（标段）</w:t>
      </w:r>
    </w:p>
    <w:p w14:paraId="4CA9AA62">
      <w:pPr>
        <w:spacing w:line="360" w:lineRule="auto"/>
        <w:ind w:right="-340" w:rightChars="-162" w:firstLine="351" w:firstLineChars="97"/>
        <w:jc w:val="center"/>
        <w:rPr>
          <w:rFonts w:ascii="宋体" w:hAnsi="宋体" w:cs="宋体"/>
          <w:b/>
          <w:color w:val="auto"/>
          <w:sz w:val="36"/>
          <w:szCs w:val="36"/>
          <w:highlight w:val="none"/>
        </w:rPr>
      </w:pPr>
    </w:p>
    <w:p w14:paraId="460451DB">
      <w:pPr>
        <w:pStyle w:val="19"/>
        <w:rPr>
          <w:rFonts w:hAnsi="宋体"/>
          <w:color w:val="auto"/>
          <w:highlight w:val="none"/>
        </w:rPr>
      </w:pPr>
    </w:p>
    <w:p w14:paraId="229F4F41">
      <w:pPr>
        <w:pStyle w:val="19"/>
        <w:rPr>
          <w:rFonts w:hAnsi="宋体"/>
          <w:color w:val="auto"/>
          <w:highlight w:val="none"/>
        </w:rPr>
      </w:pPr>
    </w:p>
    <w:p w14:paraId="383BB173">
      <w:pPr>
        <w:spacing w:line="360" w:lineRule="auto"/>
        <w:ind w:right="-340" w:rightChars="-162"/>
        <w:jc w:val="center"/>
        <w:rPr>
          <w:rFonts w:ascii="宋体" w:hAnsi="宋体" w:cs="宋体"/>
          <w:b/>
          <w:color w:val="auto"/>
          <w:sz w:val="72"/>
          <w:szCs w:val="72"/>
          <w:highlight w:val="none"/>
        </w:rPr>
      </w:pPr>
      <w:r>
        <w:rPr>
          <w:rFonts w:hint="eastAsia" w:ascii="宋体" w:hAnsi="宋体" w:cs="宋体"/>
          <w:b/>
          <w:color w:val="auto"/>
          <w:sz w:val="72"/>
          <w:szCs w:val="72"/>
          <w:highlight w:val="none"/>
        </w:rPr>
        <w:t>投 标 文 件</w:t>
      </w:r>
    </w:p>
    <w:p w14:paraId="6238EBD2">
      <w:pPr>
        <w:spacing w:line="360" w:lineRule="auto"/>
        <w:ind w:right="-340" w:rightChars="-162" w:firstLine="2238" w:firstLineChars="796"/>
        <w:rPr>
          <w:rFonts w:ascii="宋体" w:hAnsi="宋体" w:cs="宋体"/>
          <w:b/>
          <w:color w:val="auto"/>
          <w:sz w:val="28"/>
          <w:szCs w:val="28"/>
          <w:highlight w:val="none"/>
          <w:shd w:val="clear" w:color="auto" w:fill="FFFFFF"/>
        </w:rPr>
      </w:pPr>
    </w:p>
    <w:p w14:paraId="0A96550C">
      <w:pPr>
        <w:pStyle w:val="19"/>
        <w:rPr>
          <w:rFonts w:hAnsi="宋体"/>
          <w:color w:val="auto"/>
          <w:highlight w:val="none"/>
        </w:rPr>
      </w:pPr>
    </w:p>
    <w:p w14:paraId="42263848">
      <w:pPr>
        <w:pStyle w:val="19"/>
        <w:rPr>
          <w:rFonts w:hAnsi="宋体"/>
          <w:color w:val="auto"/>
          <w:highlight w:val="none"/>
        </w:rPr>
      </w:pPr>
    </w:p>
    <w:p w14:paraId="0D5EC6D5">
      <w:pPr>
        <w:spacing w:line="360" w:lineRule="auto"/>
        <w:ind w:right="-340" w:rightChars="-162" w:firstLine="2891" w:firstLineChars="900"/>
        <w:rPr>
          <w:rFonts w:ascii="宋体" w:hAnsi="宋体" w:cs="宋体"/>
          <w:b/>
          <w:color w:val="auto"/>
          <w:sz w:val="32"/>
          <w:szCs w:val="32"/>
          <w:highlight w:val="none"/>
          <w:shd w:val="clear" w:color="auto" w:fill="FFFFFF"/>
        </w:rPr>
      </w:pPr>
    </w:p>
    <w:p w14:paraId="1B402AEC">
      <w:pPr>
        <w:spacing w:line="360" w:lineRule="auto"/>
        <w:ind w:right="-340" w:rightChars="-162" w:firstLine="2878" w:firstLineChars="896"/>
        <w:rPr>
          <w:rFonts w:ascii="宋体" w:hAnsi="宋体" w:cs="宋体"/>
          <w:b/>
          <w:color w:val="auto"/>
          <w:sz w:val="32"/>
          <w:szCs w:val="32"/>
          <w:highlight w:val="none"/>
          <w:shd w:val="clear" w:color="auto" w:fill="FFFFFF"/>
        </w:rPr>
      </w:pPr>
      <w:r>
        <w:rPr>
          <w:rFonts w:hint="eastAsia" w:ascii="宋体" w:hAnsi="宋体" w:cs="宋体"/>
          <w:b/>
          <w:color w:val="auto"/>
          <w:sz w:val="32"/>
          <w:szCs w:val="32"/>
          <w:highlight w:val="none"/>
          <w:shd w:val="clear" w:color="auto" w:fill="FFFFFF"/>
          <w:lang w:val="en-US" w:eastAsia="zh-CN"/>
        </w:rPr>
        <w:t>包</w:t>
      </w:r>
      <w:bookmarkStart w:id="156" w:name="_GoBack"/>
      <w:bookmarkEnd w:id="156"/>
      <w:r>
        <w:rPr>
          <w:rFonts w:hint="eastAsia" w:ascii="宋体" w:hAnsi="宋体" w:cs="宋体"/>
          <w:b/>
          <w:color w:val="auto"/>
          <w:sz w:val="32"/>
          <w:szCs w:val="32"/>
          <w:highlight w:val="none"/>
          <w:shd w:val="clear" w:color="auto" w:fill="FFFFFF"/>
        </w:rPr>
        <w:t>号：</w:t>
      </w:r>
    </w:p>
    <w:p w14:paraId="26C11907">
      <w:pPr>
        <w:spacing w:line="360" w:lineRule="auto"/>
        <w:ind w:right="-340" w:rightChars="-162" w:firstLine="2878" w:firstLineChars="896"/>
        <w:rPr>
          <w:rFonts w:ascii="宋体" w:hAnsi="宋体" w:cs="宋体"/>
          <w:b/>
          <w:color w:val="auto"/>
          <w:sz w:val="32"/>
          <w:szCs w:val="32"/>
          <w:highlight w:val="none"/>
          <w:shd w:val="clear" w:color="auto" w:fill="FFFFFF"/>
        </w:rPr>
      </w:pPr>
      <w:r>
        <w:rPr>
          <w:rFonts w:hint="eastAsia" w:ascii="宋体" w:hAnsi="宋体" w:cs="宋体"/>
          <w:b/>
          <w:color w:val="auto"/>
          <w:sz w:val="32"/>
          <w:szCs w:val="32"/>
          <w:highlight w:val="none"/>
          <w:shd w:val="clear" w:color="auto" w:fill="FFFFFF"/>
        </w:rPr>
        <w:t>项目编号：</w:t>
      </w:r>
    </w:p>
    <w:p w14:paraId="4DD7D0EB">
      <w:pPr>
        <w:spacing w:line="360" w:lineRule="auto"/>
        <w:ind w:right="-340" w:rightChars="-162" w:firstLine="2878" w:firstLineChars="896"/>
        <w:rPr>
          <w:rFonts w:ascii="宋体" w:hAnsi="宋体" w:cs="宋体"/>
          <w:b/>
          <w:color w:val="auto"/>
          <w:sz w:val="32"/>
          <w:szCs w:val="32"/>
          <w:highlight w:val="none"/>
          <w:shd w:val="clear" w:color="auto" w:fill="FFFFFF"/>
        </w:rPr>
      </w:pPr>
    </w:p>
    <w:p w14:paraId="7CA169A4">
      <w:pPr>
        <w:spacing w:line="360" w:lineRule="auto"/>
        <w:ind w:right="-340" w:rightChars="-162"/>
        <w:jc w:val="center"/>
        <w:rPr>
          <w:rFonts w:ascii="宋体" w:hAnsi="宋体" w:cs="宋体"/>
          <w:b/>
          <w:color w:val="auto"/>
          <w:sz w:val="30"/>
          <w:szCs w:val="30"/>
          <w:highlight w:val="none"/>
        </w:rPr>
      </w:pPr>
    </w:p>
    <w:p w14:paraId="72B2563F">
      <w:pPr>
        <w:pStyle w:val="19"/>
        <w:rPr>
          <w:rFonts w:hAnsi="宋体"/>
          <w:color w:val="auto"/>
          <w:highlight w:val="none"/>
        </w:rPr>
      </w:pPr>
    </w:p>
    <w:p w14:paraId="3E7E2534">
      <w:pPr>
        <w:spacing w:line="600" w:lineRule="exact"/>
        <w:ind w:right="-340" w:rightChars="-162" w:firstLine="398" w:firstLineChars="132"/>
        <w:jc w:val="center"/>
        <w:rPr>
          <w:rFonts w:ascii="宋体" w:hAnsi="宋体" w:cs="宋体"/>
          <w:b/>
          <w:color w:val="auto"/>
          <w:sz w:val="30"/>
          <w:szCs w:val="30"/>
          <w:highlight w:val="none"/>
        </w:rPr>
      </w:pPr>
    </w:p>
    <w:p w14:paraId="00BD7B9B">
      <w:pPr>
        <w:spacing w:line="600" w:lineRule="exact"/>
        <w:ind w:right="-340" w:rightChars="-162" w:firstLine="1560" w:firstLineChars="518"/>
        <w:rPr>
          <w:rFonts w:ascii="宋体" w:hAnsi="宋体" w:cs="宋体"/>
          <w:b/>
          <w:color w:val="auto"/>
          <w:sz w:val="30"/>
          <w:szCs w:val="30"/>
          <w:highlight w:val="none"/>
          <w:u w:val="single"/>
        </w:rPr>
      </w:pPr>
      <w:r>
        <w:rPr>
          <w:rFonts w:hint="eastAsia" w:ascii="宋体" w:hAnsi="宋体" w:cs="宋体"/>
          <w:b/>
          <w:color w:val="auto"/>
          <w:sz w:val="30"/>
          <w:szCs w:val="30"/>
          <w:highlight w:val="none"/>
        </w:rPr>
        <w:t>投标供应商：（电子签章）</w:t>
      </w:r>
    </w:p>
    <w:p w14:paraId="6BF0F174">
      <w:pPr>
        <w:spacing w:line="600" w:lineRule="exact"/>
        <w:ind w:right="-340" w:rightChars="-162" w:firstLine="1560" w:firstLineChars="518"/>
        <w:rPr>
          <w:rFonts w:ascii="宋体" w:hAnsi="宋体" w:cs="宋体"/>
          <w:b/>
          <w:color w:val="auto"/>
          <w:sz w:val="30"/>
          <w:szCs w:val="30"/>
          <w:highlight w:val="none"/>
          <w:u w:val="single"/>
        </w:rPr>
      </w:pPr>
      <w:r>
        <w:rPr>
          <w:rFonts w:hint="eastAsia" w:ascii="宋体" w:hAnsi="宋体" w:cs="宋体"/>
          <w:b/>
          <w:color w:val="auto"/>
          <w:sz w:val="30"/>
          <w:szCs w:val="30"/>
          <w:highlight w:val="none"/>
        </w:rPr>
        <w:t>法定代表人或其委托代理人：（电子签章或签字）</w:t>
      </w:r>
    </w:p>
    <w:p w14:paraId="5733DD3E">
      <w:pPr>
        <w:spacing w:line="600" w:lineRule="exact"/>
        <w:ind w:right="-340" w:rightChars="-162" w:firstLine="1560" w:firstLineChars="518"/>
        <w:rPr>
          <w:rFonts w:ascii="宋体" w:hAnsi="宋体" w:cs="宋体"/>
          <w:b/>
          <w:color w:val="auto"/>
          <w:sz w:val="30"/>
          <w:szCs w:val="30"/>
          <w:highlight w:val="none"/>
          <w:u w:val="single"/>
        </w:rPr>
      </w:pPr>
      <w:r>
        <w:rPr>
          <w:rFonts w:hint="eastAsia" w:ascii="宋体" w:hAnsi="宋体" w:cs="宋体"/>
          <w:b/>
          <w:color w:val="auto"/>
          <w:sz w:val="30"/>
          <w:szCs w:val="30"/>
          <w:highlight w:val="none"/>
        </w:rPr>
        <w:t>日    期：年月日</w:t>
      </w:r>
    </w:p>
    <w:p w14:paraId="5D0C2832">
      <w:pPr>
        <w:snapToGrid w:val="0"/>
        <w:spacing w:line="360" w:lineRule="auto"/>
        <w:ind w:right="-340" w:rightChars="-162" w:firstLine="849" w:firstLineChars="302"/>
        <w:jc w:val="center"/>
        <w:rPr>
          <w:rFonts w:ascii="宋体" w:hAnsi="宋体" w:cs="宋体"/>
          <w:b/>
          <w:color w:val="auto"/>
          <w:kern w:val="10"/>
          <w:sz w:val="28"/>
          <w:szCs w:val="28"/>
          <w:highlight w:val="none"/>
        </w:rPr>
      </w:pPr>
    </w:p>
    <w:p w14:paraId="44B67CBE">
      <w:pPr>
        <w:tabs>
          <w:tab w:val="left" w:pos="5080"/>
        </w:tabs>
        <w:spacing w:line="0" w:lineRule="atLeast"/>
        <w:ind w:right="-340" w:rightChars="-162"/>
        <w:jc w:val="center"/>
        <w:rPr>
          <w:rFonts w:ascii="宋体" w:hAnsi="宋体" w:cs="宋体"/>
          <w:b/>
          <w:color w:val="auto"/>
          <w:kern w:val="10"/>
          <w:sz w:val="28"/>
          <w:szCs w:val="28"/>
          <w:highlight w:val="none"/>
        </w:rPr>
      </w:pPr>
      <w:r>
        <w:rPr>
          <w:rFonts w:hint="eastAsia" w:ascii="宋体" w:hAnsi="宋体" w:cs="宋体"/>
          <w:b/>
          <w:color w:val="auto"/>
          <w:kern w:val="10"/>
          <w:sz w:val="28"/>
          <w:szCs w:val="28"/>
          <w:highlight w:val="none"/>
        </w:rPr>
        <w:br w:type="page"/>
      </w:r>
    </w:p>
    <w:p w14:paraId="4A4D6691">
      <w:pPr>
        <w:tabs>
          <w:tab w:val="left" w:pos="5080"/>
        </w:tabs>
        <w:spacing w:line="0" w:lineRule="atLeast"/>
        <w:ind w:right="-340" w:rightChars="-162"/>
        <w:jc w:val="center"/>
        <w:rPr>
          <w:rFonts w:ascii="宋体" w:hAnsi="宋体" w:cs="宋体"/>
          <w:b/>
          <w:color w:val="auto"/>
          <w:sz w:val="32"/>
          <w:szCs w:val="32"/>
          <w:highlight w:val="none"/>
        </w:rPr>
      </w:pPr>
      <w:r>
        <w:rPr>
          <w:rFonts w:hint="eastAsia" w:ascii="宋体" w:hAnsi="宋体" w:cs="宋体"/>
          <w:b/>
          <w:color w:val="auto"/>
          <w:sz w:val="32"/>
          <w:szCs w:val="32"/>
          <w:highlight w:val="none"/>
        </w:rPr>
        <w:t>目   录</w:t>
      </w:r>
    </w:p>
    <w:p w14:paraId="006E2D92">
      <w:pPr>
        <w:spacing w:line="200" w:lineRule="exact"/>
        <w:ind w:right="-340" w:rightChars="-162"/>
        <w:rPr>
          <w:rFonts w:ascii="宋体" w:hAnsi="宋体" w:cs="宋体"/>
          <w:color w:val="auto"/>
          <w:highlight w:val="none"/>
        </w:rPr>
      </w:pPr>
    </w:p>
    <w:p w14:paraId="67BA8210">
      <w:pPr>
        <w:spacing w:line="354" w:lineRule="exact"/>
        <w:ind w:right="-340" w:rightChars="-162"/>
        <w:rPr>
          <w:rFonts w:ascii="宋体" w:hAnsi="宋体" w:cs="宋体"/>
          <w:color w:val="auto"/>
          <w:highlight w:val="none"/>
        </w:rPr>
      </w:pPr>
    </w:p>
    <w:p w14:paraId="79C175D7">
      <w:pPr>
        <w:spacing w:line="520" w:lineRule="exact"/>
        <w:ind w:right="-340" w:rightChars="-162"/>
        <w:jc w:val="center"/>
        <w:textAlignment w:val="center"/>
        <w:rPr>
          <w:rFonts w:ascii="宋体" w:hAnsi="宋体" w:cs="宋体"/>
          <w:color w:val="auto"/>
          <w:sz w:val="30"/>
          <w:szCs w:val="30"/>
          <w:highlight w:val="none"/>
        </w:rPr>
      </w:pPr>
      <w:r>
        <w:rPr>
          <w:rFonts w:hint="eastAsia" w:ascii="宋体" w:hAnsi="宋体" w:cs="宋体"/>
          <w:color w:val="auto"/>
          <w:sz w:val="30"/>
          <w:szCs w:val="30"/>
          <w:highlight w:val="none"/>
        </w:rPr>
        <w:t>自拟</w:t>
      </w:r>
    </w:p>
    <w:p w14:paraId="60DFD9F3">
      <w:pPr>
        <w:spacing w:beforeLines="100" w:line="480" w:lineRule="exact"/>
        <w:ind w:right="-340" w:rightChars="-162"/>
        <w:jc w:val="center"/>
        <w:textAlignment w:val="center"/>
        <w:rPr>
          <w:rFonts w:ascii="宋体" w:hAnsi="宋体" w:cs="宋体"/>
          <w:color w:val="auto"/>
          <w:sz w:val="30"/>
          <w:szCs w:val="28"/>
          <w:highlight w:val="none"/>
        </w:rPr>
      </w:pPr>
    </w:p>
    <w:p w14:paraId="41629D5E">
      <w:pPr>
        <w:spacing w:line="480" w:lineRule="exact"/>
        <w:ind w:right="-340" w:rightChars="-162"/>
        <w:rPr>
          <w:rFonts w:ascii="宋体" w:hAnsi="宋体" w:cs="宋体"/>
          <w:color w:val="auto"/>
          <w:highlight w:val="none"/>
        </w:rPr>
      </w:pPr>
    </w:p>
    <w:p w14:paraId="17B9834A">
      <w:pPr>
        <w:spacing w:line="0" w:lineRule="atLeast"/>
        <w:ind w:left="3140" w:right="-340" w:rightChars="-162"/>
        <w:rPr>
          <w:rFonts w:ascii="宋体" w:hAnsi="宋体" w:cs="宋体"/>
          <w:b/>
          <w:color w:val="auto"/>
          <w:sz w:val="30"/>
          <w:highlight w:val="none"/>
        </w:rPr>
      </w:pPr>
      <w:bookmarkStart w:id="129" w:name="page56"/>
      <w:bookmarkEnd w:id="129"/>
      <w:r>
        <w:rPr>
          <w:rFonts w:hint="eastAsia" w:ascii="宋体" w:hAnsi="宋体" w:cs="宋体"/>
          <w:b/>
          <w:color w:val="auto"/>
          <w:sz w:val="30"/>
          <w:highlight w:val="none"/>
        </w:rPr>
        <w:br w:type="page"/>
      </w:r>
    </w:p>
    <w:p w14:paraId="339FC695">
      <w:pPr>
        <w:spacing w:line="0" w:lineRule="atLeast"/>
        <w:ind w:left="3140" w:leftChars="0" w:right="-340" w:rightChars="-162"/>
        <w:outlineLvl w:val="0"/>
        <w:rPr>
          <w:rFonts w:ascii="宋体" w:hAnsi="宋体" w:cs="宋体"/>
          <w:b/>
          <w:color w:val="auto"/>
          <w:sz w:val="32"/>
          <w:szCs w:val="32"/>
          <w:highlight w:val="none"/>
        </w:rPr>
      </w:pPr>
      <w:bookmarkStart w:id="130" w:name="_Toc154"/>
      <w:r>
        <w:rPr>
          <w:rFonts w:hint="eastAsia" w:ascii="宋体" w:hAnsi="宋体" w:cs="宋体"/>
          <w:b/>
          <w:color w:val="auto"/>
          <w:sz w:val="32"/>
          <w:szCs w:val="32"/>
          <w:highlight w:val="none"/>
        </w:rPr>
        <w:t>一、投标函及投标函附录</w:t>
      </w:r>
      <w:bookmarkEnd w:id="130"/>
    </w:p>
    <w:p w14:paraId="00649FFE">
      <w:pPr>
        <w:spacing w:line="0" w:lineRule="atLeast"/>
        <w:ind w:left="3680" w:right="-340" w:rightChars="-162" w:firstLine="281" w:firstLineChars="100"/>
        <w:rPr>
          <w:rFonts w:ascii="宋体" w:hAnsi="宋体" w:cs="宋体"/>
          <w:b/>
          <w:color w:val="auto"/>
          <w:sz w:val="28"/>
          <w:szCs w:val="28"/>
          <w:highlight w:val="none"/>
        </w:rPr>
      </w:pPr>
    </w:p>
    <w:p w14:paraId="71BAE36F">
      <w:pPr>
        <w:spacing w:line="0" w:lineRule="atLeast"/>
        <w:ind w:left="3680" w:right="-340" w:rightChars="-162" w:firstLine="281" w:firstLineChars="100"/>
        <w:rPr>
          <w:rFonts w:ascii="宋体" w:hAnsi="宋体" w:cs="宋体"/>
          <w:b/>
          <w:color w:val="auto"/>
          <w:sz w:val="28"/>
          <w:szCs w:val="28"/>
          <w:highlight w:val="none"/>
        </w:rPr>
      </w:pPr>
      <w:r>
        <w:rPr>
          <w:rFonts w:hint="eastAsia" w:ascii="宋体" w:hAnsi="宋体" w:cs="宋体"/>
          <w:b/>
          <w:color w:val="auto"/>
          <w:sz w:val="28"/>
          <w:szCs w:val="28"/>
          <w:highlight w:val="none"/>
        </w:rPr>
        <w:t>(一）投标函</w:t>
      </w:r>
    </w:p>
    <w:p w14:paraId="404DDBA6">
      <w:pPr>
        <w:spacing w:line="440" w:lineRule="exact"/>
        <w:ind w:right="-340" w:rightChars="-162"/>
        <w:jc w:val="left"/>
        <w:rPr>
          <w:rFonts w:ascii="宋体" w:hAnsi="宋体" w:cs="宋体"/>
          <w:color w:val="auto"/>
          <w:sz w:val="32"/>
          <w:szCs w:val="32"/>
          <w:highlight w:val="none"/>
          <w:lang w:bidi="zh-CN"/>
        </w:rPr>
      </w:pPr>
    </w:p>
    <w:p w14:paraId="561D33D7">
      <w:pPr>
        <w:spacing w:line="460" w:lineRule="exact"/>
        <w:ind w:right="-57" w:rightChars="-27"/>
        <w:jc w:val="left"/>
        <w:rPr>
          <w:rFonts w:ascii="宋体" w:hAnsi="宋体" w:cs="宋体"/>
          <w:color w:val="auto"/>
          <w:sz w:val="24"/>
          <w:highlight w:val="none"/>
          <w:lang w:bidi="zh-CN"/>
        </w:rPr>
      </w:pPr>
      <w:r>
        <w:rPr>
          <w:rFonts w:hint="eastAsia" w:ascii="宋体" w:hAnsi="宋体" w:cs="宋体"/>
          <w:color w:val="auto"/>
          <w:sz w:val="24"/>
          <w:highlight w:val="none"/>
          <w:lang w:bidi="zh-CN"/>
        </w:rPr>
        <w:t>致：（采购人名称）</w:t>
      </w:r>
    </w:p>
    <w:p w14:paraId="2973B238">
      <w:pPr>
        <w:spacing w:line="460" w:lineRule="exact"/>
        <w:ind w:right="-57" w:rightChars="-27"/>
        <w:rPr>
          <w:rFonts w:ascii="宋体" w:hAnsi="宋体" w:cs="宋体"/>
          <w:color w:val="auto"/>
          <w:sz w:val="24"/>
          <w:highlight w:val="none"/>
          <w:u w:val="single"/>
          <w:lang w:bidi="zh-CN"/>
        </w:rPr>
      </w:pPr>
      <w:r>
        <w:rPr>
          <w:rFonts w:hint="eastAsia" w:ascii="宋体" w:hAnsi="宋体" w:cs="宋体"/>
          <w:color w:val="auto"/>
          <w:sz w:val="24"/>
          <w:highlight w:val="none"/>
          <w:lang w:bidi="zh-CN"/>
        </w:rPr>
        <w:t xml:space="preserve">     1．我方已仔细研究了 </w:t>
      </w:r>
      <w:r>
        <w:rPr>
          <w:rFonts w:hint="eastAsia" w:ascii="宋体" w:hAnsi="宋体" w:cs="宋体"/>
          <w:color w:val="auto"/>
          <w:sz w:val="24"/>
          <w:highlight w:val="none"/>
          <w:u w:val="single"/>
          <w:lang w:bidi="zh-CN"/>
        </w:rPr>
        <w:t xml:space="preserve">           （项目名称、标段）</w:t>
      </w:r>
      <w:r>
        <w:rPr>
          <w:rFonts w:hint="eastAsia" w:ascii="宋体" w:hAnsi="宋体" w:cs="宋体"/>
          <w:color w:val="auto"/>
          <w:sz w:val="24"/>
          <w:highlight w:val="none"/>
          <w:lang w:bidi="zh-CN"/>
        </w:rPr>
        <w:t>招标文件的全部内容，愿以人民币</w:t>
      </w:r>
      <w:r>
        <w:rPr>
          <w:rFonts w:hint="eastAsia" w:ascii="宋体" w:hAnsi="宋体" w:cs="宋体"/>
          <w:color w:val="auto"/>
          <w:sz w:val="24"/>
          <w:highlight w:val="none"/>
          <w:u w:val="single"/>
          <w:lang w:bidi="zh-CN"/>
        </w:rPr>
        <w:t>（大写）            （¥      元）</w:t>
      </w:r>
      <w:r>
        <w:rPr>
          <w:rFonts w:hint="eastAsia" w:ascii="宋体" w:hAnsi="宋体" w:cs="宋体"/>
          <w:color w:val="auto"/>
          <w:sz w:val="24"/>
          <w:highlight w:val="none"/>
          <w:lang w:bidi="zh-CN"/>
        </w:rPr>
        <w:t>的总报价投标。交货期限日历天，按合同约定采购内容的供货及安装，质量要求为 ，质保期。</w:t>
      </w:r>
    </w:p>
    <w:p w14:paraId="199283CB">
      <w:pPr>
        <w:spacing w:line="460" w:lineRule="exact"/>
        <w:ind w:right="-57" w:rightChars="-27"/>
        <w:rPr>
          <w:rFonts w:ascii="宋体" w:hAnsi="宋体" w:cs="宋体"/>
          <w:color w:val="auto"/>
          <w:sz w:val="24"/>
          <w:highlight w:val="none"/>
          <w:lang w:bidi="zh-CN"/>
        </w:rPr>
      </w:pPr>
      <w:r>
        <w:rPr>
          <w:rFonts w:hint="eastAsia" w:ascii="宋体" w:hAnsi="宋体" w:cs="宋体"/>
          <w:color w:val="auto"/>
          <w:sz w:val="24"/>
          <w:highlight w:val="none"/>
          <w:lang w:bidi="zh-CN"/>
        </w:rPr>
        <w:t xml:space="preserve">     2．我方承诺在投标有效期为</w:t>
      </w:r>
      <w:r>
        <w:rPr>
          <w:rFonts w:hint="eastAsia" w:ascii="宋体" w:hAnsi="宋体" w:cs="宋体"/>
          <w:color w:val="auto"/>
          <w:sz w:val="24"/>
          <w:szCs w:val="24"/>
          <w:highlight w:val="none"/>
        </w:rPr>
        <w:t>从投标截止之日起</w:t>
      </w:r>
      <w:r>
        <w:rPr>
          <w:rFonts w:hint="eastAsia" w:ascii="宋体" w:hAnsi="宋体" w:cs="宋体"/>
          <w:color w:val="auto"/>
          <w:sz w:val="24"/>
          <w:highlight w:val="none"/>
          <w:u w:val="single"/>
          <w:lang w:bidi="zh-CN"/>
        </w:rPr>
        <w:t xml:space="preserve">  60  </w:t>
      </w:r>
      <w:r>
        <w:rPr>
          <w:rFonts w:hint="eastAsia" w:ascii="宋体" w:hAnsi="宋体" w:cs="宋体"/>
          <w:color w:val="auto"/>
          <w:sz w:val="24"/>
          <w:highlight w:val="none"/>
          <w:lang w:bidi="zh-CN"/>
        </w:rPr>
        <w:t>日历天内不修改、撤销投标文件。</w:t>
      </w:r>
    </w:p>
    <w:p w14:paraId="4E8ADE53">
      <w:pPr>
        <w:numPr>
          <w:ilvl w:val="0"/>
          <w:numId w:val="18"/>
        </w:numPr>
        <w:spacing w:line="460" w:lineRule="exact"/>
        <w:ind w:right="-57" w:rightChars="-27" w:firstLine="617"/>
        <w:jc w:val="left"/>
        <w:rPr>
          <w:rFonts w:ascii="宋体" w:hAnsi="宋体" w:cs="宋体"/>
          <w:color w:val="auto"/>
          <w:sz w:val="24"/>
          <w:highlight w:val="none"/>
          <w:lang w:bidi="zh-CN"/>
        </w:rPr>
      </w:pPr>
      <w:r>
        <w:rPr>
          <w:rFonts w:hint="eastAsia" w:ascii="宋体" w:hAnsi="宋体" w:cs="宋体"/>
          <w:color w:val="auto"/>
          <w:sz w:val="24"/>
          <w:highlight w:val="none"/>
          <w:lang w:bidi="zh-CN"/>
        </w:rPr>
        <w:t>随同本招标函提交投标承诺函。</w:t>
      </w:r>
    </w:p>
    <w:p w14:paraId="0A1867DF">
      <w:pPr>
        <w:spacing w:line="460" w:lineRule="exact"/>
        <w:ind w:right="-57" w:rightChars="-27" w:firstLine="617"/>
        <w:rPr>
          <w:rFonts w:ascii="宋体" w:hAnsi="宋体" w:cs="宋体"/>
          <w:color w:val="auto"/>
          <w:sz w:val="24"/>
          <w:highlight w:val="none"/>
          <w:lang w:bidi="zh-CN"/>
        </w:rPr>
      </w:pPr>
      <w:r>
        <w:rPr>
          <w:rFonts w:hint="eastAsia" w:ascii="宋体" w:hAnsi="宋体" w:cs="宋体"/>
          <w:color w:val="auto"/>
          <w:sz w:val="24"/>
          <w:highlight w:val="none"/>
          <w:lang w:bidi="zh-CN"/>
        </w:rPr>
        <w:t>4．如我方中标：</w:t>
      </w:r>
    </w:p>
    <w:p w14:paraId="07883E6F">
      <w:pPr>
        <w:spacing w:line="460" w:lineRule="exact"/>
        <w:ind w:right="-57" w:rightChars="-27" w:firstLine="540"/>
        <w:jc w:val="left"/>
        <w:rPr>
          <w:rFonts w:ascii="宋体" w:hAnsi="宋体" w:cs="宋体"/>
          <w:color w:val="auto"/>
          <w:sz w:val="24"/>
          <w:highlight w:val="none"/>
          <w:lang w:bidi="zh-CN"/>
        </w:rPr>
      </w:pPr>
      <w:r>
        <w:rPr>
          <w:rFonts w:hint="eastAsia" w:ascii="宋体" w:hAnsi="宋体" w:cs="宋体"/>
          <w:color w:val="auto"/>
          <w:sz w:val="24"/>
          <w:highlight w:val="none"/>
          <w:lang w:bidi="zh-CN"/>
        </w:rPr>
        <w:t>（1）我方承诺在收到通知后领取成交通知书，并在成交通知书规定的期限内与你方签订合同，逾期可视为放弃中标。</w:t>
      </w:r>
    </w:p>
    <w:p w14:paraId="0F3E97AE">
      <w:pPr>
        <w:spacing w:line="460" w:lineRule="exact"/>
        <w:ind w:right="-57" w:rightChars="-27" w:firstLine="540"/>
        <w:jc w:val="left"/>
        <w:rPr>
          <w:rFonts w:ascii="宋体" w:hAnsi="宋体" w:cs="宋体"/>
          <w:color w:val="auto"/>
          <w:sz w:val="24"/>
          <w:highlight w:val="none"/>
          <w:lang w:bidi="zh-CN"/>
        </w:rPr>
      </w:pPr>
      <w:r>
        <w:rPr>
          <w:rFonts w:hint="eastAsia" w:ascii="宋体" w:hAnsi="宋体" w:cs="宋体"/>
          <w:color w:val="auto"/>
          <w:sz w:val="24"/>
          <w:highlight w:val="none"/>
          <w:lang w:bidi="zh-CN"/>
        </w:rPr>
        <w:t>（2）我方承诺在合同约定的期限内完成并移交全部合同工程。</w:t>
      </w:r>
    </w:p>
    <w:p w14:paraId="62F93D8A">
      <w:pPr>
        <w:spacing w:line="460" w:lineRule="exact"/>
        <w:ind w:right="-57" w:rightChars="-27" w:firstLine="540"/>
        <w:jc w:val="left"/>
        <w:rPr>
          <w:rFonts w:ascii="宋体" w:hAnsi="宋体" w:cs="宋体"/>
          <w:color w:val="auto"/>
          <w:sz w:val="24"/>
          <w:highlight w:val="none"/>
          <w:lang w:bidi="zh-CN"/>
        </w:rPr>
      </w:pPr>
      <w:r>
        <w:rPr>
          <w:rFonts w:hint="eastAsia" w:ascii="宋体" w:hAnsi="宋体" w:cs="宋体"/>
          <w:color w:val="auto"/>
          <w:sz w:val="24"/>
          <w:highlight w:val="none"/>
          <w:lang w:bidi="zh-CN"/>
        </w:rPr>
        <w:t>（3）我方承诺满足合同专用条款中补充条款的内容。</w:t>
      </w:r>
    </w:p>
    <w:p w14:paraId="7760CA6E">
      <w:pPr>
        <w:spacing w:line="460" w:lineRule="exact"/>
        <w:ind w:right="-57" w:rightChars="-27" w:firstLine="540"/>
        <w:jc w:val="left"/>
        <w:rPr>
          <w:rFonts w:ascii="宋体" w:hAnsi="宋体" w:cs="宋体"/>
          <w:color w:val="auto"/>
          <w:sz w:val="24"/>
          <w:highlight w:val="none"/>
          <w:lang w:bidi="zh-CN"/>
        </w:rPr>
      </w:pPr>
      <w:r>
        <w:rPr>
          <w:rFonts w:hint="eastAsia" w:ascii="宋体" w:hAnsi="宋体" w:cs="宋体"/>
          <w:color w:val="auto"/>
          <w:sz w:val="24"/>
          <w:highlight w:val="none"/>
          <w:lang w:bidi="zh-CN"/>
        </w:rPr>
        <w:t>（4）我方承诺并理解采购人不以最低投标价为成交价的唯一选择。</w:t>
      </w:r>
    </w:p>
    <w:p w14:paraId="4E53AA00">
      <w:pPr>
        <w:spacing w:line="460" w:lineRule="exact"/>
        <w:ind w:right="-57" w:rightChars="-27" w:firstLine="617"/>
        <w:jc w:val="left"/>
        <w:rPr>
          <w:rFonts w:ascii="宋体" w:hAnsi="宋体" w:cs="宋体"/>
          <w:color w:val="auto"/>
          <w:sz w:val="24"/>
          <w:highlight w:val="none"/>
          <w:lang w:bidi="zh-CN"/>
        </w:rPr>
      </w:pPr>
      <w:r>
        <w:rPr>
          <w:rFonts w:hint="eastAsia" w:ascii="宋体" w:hAnsi="宋体" w:cs="宋体"/>
          <w:color w:val="auto"/>
          <w:sz w:val="24"/>
          <w:highlight w:val="none"/>
          <w:lang w:bidi="zh-CN"/>
        </w:rPr>
        <w:t>5．我方在此声明，所递交的投标文件及有关资料内容完整、真实和准确。</w:t>
      </w:r>
    </w:p>
    <w:p w14:paraId="7D5D8C21">
      <w:pPr>
        <w:spacing w:line="460" w:lineRule="exact"/>
        <w:ind w:right="-57" w:rightChars="-27" w:firstLine="617"/>
        <w:jc w:val="left"/>
        <w:rPr>
          <w:rFonts w:ascii="宋体" w:hAnsi="宋体" w:cs="宋体"/>
          <w:color w:val="auto"/>
          <w:sz w:val="24"/>
          <w:highlight w:val="none"/>
          <w:lang w:bidi="zh-CN"/>
        </w:rPr>
      </w:pPr>
      <w:r>
        <w:rPr>
          <w:rFonts w:hint="eastAsia" w:ascii="宋体" w:hAnsi="宋体" w:cs="宋体"/>
          <w:color w:val="auto"/>
          <w:sz w:val="24"/>
          <w:highlight w:val="none"/>
          <w:lang w:bidi="zh-CN"/>
        </w:rPr>
        <w:t>6．（其他补充说明）。</w:t>
      </w:r>
    </w:p>
    <w:p w14:paraId="7BCD762C">
      <w:pPr>
        <w:spacing w:line="460" w:lineRule="exact"/>
        <w:ind w:right="-57" w:rightChars="-27" w:firstLine="3840" w:firstLineChars="1600"/>
        <w:jc w:val="left"/>
        <w:rPr>
          <w:rFonts w:ascii="宋体" w:hAnsi="宋体" w:cs="宋体"/>
          <w:color w:val="auto"/>
          <w:sz w:val="24"/>
          <w:highlight w:val="none"/>
          <w:lang w:bidi="zh-CN"/>
        </w:rPr>
      </w:pPr>
    </w:p>
    <w:p w14:paraId="1CD9D731">
      <w:pPr>
        <w:spacing w:line="460" w:lineRule="exact"/>
        <w:ind w:right="-57" w:rightChars="-27" w:firstLine="3840" w:firstLineChars="1600"/>
        <w:jc w:val="left"/>
        <w:rPr>
          <w:rFonts w:ascii="宋体" w:hAnsi="宋体" w:cs="宋体"/>
          <w:color w:val="auto"/>
          <w:sz w:val="24"/>
          <w:highlight w:val="none"/>
          <w:lang w:bidi="zh-CN"/>
        </w:rPr>
      </w:pPr>
    </w:p>
    <w:p w14:paraId="3A373E43">
      <w:pPr>
        <w:spacing w:line="460" w:lineRule="exact"/>
        <w:ind w:right="-57" w:rightChars="-27" w:firstLine="2976" w:firstLineChars="1240"/>
        <w:jc w:val="left"/>
        <w:rPr>
          <w:rFonts w:ascii="宋体" w:hAnsi="宋体" w:cs="宋体"/>
          <w:color w:val="auto"/>
          <w:sz w:val="24"/>
          <w:highlight w:val="none"/>
          <w:lang w:bidi="zh-CN"/>
        </w:rPr>
      </w:pPr>
      <w:r>
        <w:rPr>
          <w:rFonts w:hint="eastAsia" w:ascii="宋体" w:hAnsi="宋体" w:cs="宋体"/>
          <w:color w:val="auto"/>
          <w:kern w:val="0"/>
          <w:sz w:val="24"/>
          <w:szCs w:val="24"/>
          <w:highlight w:val="none"/>
        </w:rPr>
        <w:t>投标供应商</w:t>
      </w:r>
      <w:r>
        <w:rPr>
          <w:rFonts w:hint="eastAsia" w:ascii="宋体" w:hAnsi="宋体" w:cs="宋体"/>
          <w:color w:val="auto"/>
          <w:sz w:val="24"/>
          <w:highlight w:val="none"/>
          <w:lang w:bidi="zh-CN"/>
        </w:rPr>
        <w:t>：（</w:t>
      </w:r>
      <w:r>
        <w:rPr>
          <w:rFonts w:hint="eastAsia" w:ascii="宋体" w:hAnsi="宋体" w:cs="宋体"/>
          <w:color w:val="auto"/>
          <w:sz w:val="24"/>
          <w:highlight w:val="none"/>
        </w:rPr>
        <w:t>电子签章</w:t>
      </w:r>
      <w:r>
        <w:rPr>
          <w:rFonts w:hint="eastAsia" w:ascii="宋体" w:hAnsi="宋体" w:cs="宋体"/>
          <w:color w:val="auto"/>
          <w:sz w:val="24"/>
          <w:highlight w:val="none"/>
          <w:lang w:bidi="zh-CN"/>
        </w:rPr>
        <w:t>）</w:t>
      </w:r>
    </w:p>
    <w:p w14:paraId="731E0451">
      <w:pPr>
        <w:spacing w:line="460" w:lineRule="exact"/>
        <w:ind w:right="-57" w:rightChars="-27" w:firstLine="2976" w:firstLineChars="1240"/>
        <w:jc w:val="left"/>
        <w:rPr>
          <w:rFonts w:ascii="宋体" w:hAnsi="宋体" w:cs="宋体"/>
          <w:color w:val="auto"/>
          <w:sz w:val="24"/>
          <w:highlight w:val="none"/>
          <w:lang w:bidi="zh-CN"/>
        </w:rPr>
      </w:pPr>
      <w:r>
        <w:rPr>
          <w:rFonts w:hint="eastAsia" w:ascii="宋体" w:hAnsi="宋体" w:cs="宋体"/>
          <w:color w:val="auto"/>
          <w:sz w:val="24"/>
          <w:highlight w:val="none"/>
          <w:lang w:bidi="zh-CN"/>
        </w:rPr>
        <w:t>法定代表人或其委托代理人：（</w:t>
      </w:r>
      <w:r>
        <w:rPr>
          <w:rFonts w:hint="eastAsia" w:ascii="宋体" w:hAnsi="宋体" w:cs="宋体"/>
          <w:color w:val="auto"/>
          <w:sz w:val="24"/>
          <w:highlight w:val="none"/>
        </w:rPr>
        <w:t>电子签章或签字</w:t>
      </w:r>
      <w:r>
        <w:rPr>
          <w:rFonts w:hint="eastAsia" w:ascii="宋体" w:hAnsi="宋体" w:cs="宋体"/>
          <w:color w:val="auto"/>
          <w:sz w:val="24"/>
          <w:highlight w:val="none"/>
          <w:lang w:bidi="zh-CN"/>
        </w:rPr>
        <w:t>）</w:t>
      </w:r>
    </w:p>
    <w:p w14:paraId="18FF331A">
      <w:pPr>
        <w:spacing w:line="460" w:lineRule="exact"/>
        <w:ind w:right="-57" w:rightChars="-27" w:firstLine="2976" w:firstLineChars="1240"/>
        <w:jc w:val="left"/>
        <w:rPr>
          <w:rFonts w:ascii="宋体" w:hAnsi="宋体" w:cs="宋体"/>
          <w:color w:val="auto"/>
          <w:sz w:val="24"/>
          <w:highlight w:val="none"/>
          <w:u w:val="single"/>
          <w:lang w:bidi="zh-CN"/>
        </w:rPr>
      </w:pPr>
      <w:r>
        <w:rPr>
          <w:rFonts w:hint="eastAsia" w:ascii="宋体" w:hAnsi="宋体" w:cs="宋体"/>
          <w:color w:val="auto"/>
          <w:sz w:val="24"/>
          <w:highlight w:val="none"/>
          <w:lang w:bidi="zh-CN"/>
        </w:rPr>
        <w:t>地     址：</w:t>
      </w:r>
    </w:p>
    <w:p w14:paraId="70837E1A">
      <w:pPr>
        <w:spacing w:line="460" w:lineRule="exact"/>
        <w:ind w:right="-57" w:rightChars="-27" w:firstLine="2976" w:firstLineChars="1240"/>
        <w:jc w:val="left"/>
        <w:rPr>
          <w:rFonts w:ascii="宋体" w:hAnsi="宋体" w:cs="宋体"/>
          <w:color w:val="auto"/>
          <w:sz w:val="24"/>
          <w:highlight w:val="none"/>
          <w:u w:val="single"/>
          <w:lang w:bidi="zh-CN"/>
        </w:rPr>
      </w:pPr>
      <w:r>
        <w:rPr>
          <w:rFonts w:hint="eastAsia" w:ascii="宋体" w:hAnsi="宋体" w:cs="宋体"/>
          <w:color w:val="auto"/>
          <w:sz w:val="24"/>
          <w:highlight w:val="none"/>
          <w:lang w:bidi="zh-CN"/>
        </w:rPr>
        <w:t>电     话：</w:t>
      </w:r>
    </w:p>
    <w:p w14:paraId="180ECCF3">
      <w:pPr>
        <w:spacing w:line="460" w:lineRule="exact"/>
        <w:ind w:right="-57" w:rightChars="-27" w:firstLine="2976" w:firstLineChars="1240"/>
        <w:jc w:val="left"/>
        <w:rPr>
          <w:rFonts w:ascii="宋体" w:hAnsi="宋体" w:cs="宋体"/>
          <w:b/>
          <w:color w:val="auto"/>
          <w:sz w:val="32"/>
          <w:szCs w:val="32"/>
          <w:highlight w:val="none"/>
        </w:rPr>
      </w:pPr>
      <w:r>
        <w:rPr>
          <w:rFonts w:hint="eastAsia" w:ascii="宋体" w:hAnsi="宋体" w:cs="宋体"/>
          <w:color w:val="auto"/>
          <w:sz w:val="24"/>
          <w:highlight w:val="none"/>
          <w:lang w:bidi="zh-CN"/>
        </w:rPr>
        <w:t>日     期：    年     月     日</w:t>
      </w:r>
    </w:p>
    <w:p w14:paraId="312E4EB9">
      <w:pPr>
        <w:spacing w:line="0" w:lineRule="atLeast"/>
        <w:ind w:right="-57" w:rightChars="-27"/>
        <w:rPr>
          <w:rFonts w:ascii="宋体" w:hAnsi="宋体" w:cs="宋体"/>
          <w:b/>
          <w:color w:val="auto"/>
          <w:sz w:val="32"/>
          <w:highlight w:val="none"/>
        </w:rPr>
      </w:pPr>
    </w:p>
    <w:p w14:paraId="3DDAC7F0">
      <w:pPr>
        <w:spacing w:line="23" w:lineRule="exact"/>
        <w:ind w:right="-57" w:rightChars="-27"/>
        <w:rPr>
          <w:rFonts w:ascii="宋体" w:hAnsi="宋体" w:cs="宋体"/>
          <w:color w:val="auto"/>
          <w:highlight w:val="none"/>
        </w:rPr>
      </w:pPr>
    </w:p>
    <w:p w14:paraId="15762858">
      <w:pPr>
        <w:spacing w:line="0" w:lineRule="atLeast"/>
        <w:ind w:right="-340" w:rightChars="-162"/>
        <w:rPr>
          <w:rFonts w:ascii="宋体" w:hAnsi="宋体" w:cs="宋体"/>
          <w:color w:val="auto"/>
          <w:sz w:val="24"/>
          <w:highlight w:val="none"/>
        </w:rPr>
        <w:sectPr>
          <w:footerReference r:id="rId6" w:type="default"/>
          <w:pgSz w:w="11905" w:h="16838"/>
          <w:pgMar w:top="1440" w:right="1417" w:bottom="1440" w:left="1417" w:header="680" w:footer="680" w:gutter="0"/>
          <w:pgBorders>
            <w:top w:val="none" w:sz="0" w:space="0"/>
            <w:left w:val="none" w:sz="0" w:space="0"/>
            <w:bottom w:val="none" w:sz="0" w:space="0"/>
            <w:right w:val="none" w:sz="0" w:space="0"/>
          </w:pgBorders>
          <w:pgNumType w:fmt="numberInDash"/>
          <w:cols w:space="0" w:num="1"/>
          <w:rtlGutter w:val="0"/>
          <w:docGrid w:type="lines" w:linePitch="317" w:charSpace="0"/>
        </w:sectPr>
      </w:pPr>
    </w:p>
    <w:p w14:paraId="048F3252">
      <w:pPr>
        <w:spacing w:beforeLines="100" w:afterLines="50" w:line="240" w:lineRule="exact"/>
        <w:ind w:right="-340" w:rightChars="-162"/>
        <w:jc w:val="center"/>
        <w:textAlignment w:val="center"/>
        <w:rPr>
          <w:rFonts w:ascii="宋体" w:hAnsi="宋体" w:cs="宋体"/>
          <w:b/>
          <w:color w:val="auto"/>
          <w:sz w:val="28"/>
          <w:szCs w:val="28"/>
          <w:highlight w:val="none"/>
        </w:rPr>
      </w:pPr>
      <w:bookmarkStart w:id="131" w:name="page58"/>
      <w:bookmarkEnd w:id="131"/>
      <w:r>
        <w:rPr>
          <w:rFonts w:hint="eastAsia" w:ascii="宋体" w:hAnsi="宋体" w:cs="宋体"/>
          <w:b/>
          <w:color w:val="auto"/>
          <w:sz w:val="28"/>
          <w:szCs w:val="28"/>
          <w:highlight w:val="none"/>
        </w:rPr>
        <w:t>（二）投标函附录</w:t>
      </w:r>
    </w:p>
    <w:tbl>
      <w:tblPr>
        <w:tblStyle w:val="16"/>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9"/>
        <w:gridCol w:w="1738"/>
        <w:gridCol w:w="2731"/>
        <w:gridCol w:w="3191"/>
      </w:tblGrid>
      <w:tr w14:paraId="3B54E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1619" w:type="dxa"/>
            <w:tcBorders>
              <w:right w:val="nil"/>
            </w:tcBorders>
            <w:vAlign w:val="center"/>
          </w:tcPr>
          <w:p w14:paraId="554B3FC1">
            <w:pPr>
              <w:spacing w:line="360" w:lineRule="auto"/>
              <w:ind w:right="-143" w:rightChars="-68"/>
              <w:jc w:val="center"/>
              <w:rPr>
                <w:rFonts w:ascii="宋体" w:hAnsi="宋体" w:cs="宋体"/>
                <w:color w:val="auto"/>
                <w:sz w:val="24"/>
                <w:highlight w:val="none"/>
              </w:rPr>
            </w:pPr>
            <w:r>
              <w:rPr>
                <w:rFonts w:hint="eastAsia" w:ascii="宋体" w:hAnsi="宋体" w:cs="宋体"/>
                <w:color w:val="auto"/>
                <w:sz w:val="24"/>
                <w:highlight w:val="none"/>
              </w:rPr>
              <w:t>项目名称、标段</w:t>
            </w:r>
          </w:p>
        </w:tc>
        <w:tc>
          <w:tcPr>
            <w:tcW w:w="7660" w:type="dxa"/>
            <w:gridSpan w:val="3"/>
            <w:tcBorders>
              <w:right w:val="single" w:color="auto" w:sz="4" w:space="0"/>
            </w:tcBorders>
            <w:vAlign w:val="center"/>
          </w:tcPr>
          <w:p w14:paraId="3B82A901">
            <w:pPr>
              <w:spacing w:line="360" w:lineRule="auto"/>
              <w:ind w:right="-340" w:rightChars="-162"/>
              <w:jc w:val="center"/>
              <w:rPr>
                <w:rFonts w:ascii="宋体" w:hAnsi="宋体" w:cs="宋体"/>
                <w:color w:val="auto"/>
                <w:sz w:val="24"/>
                <w:highlight w:val="none"/>
              </w:rPr>
            </w:pPr>
          </w:p>
        </w:tc>
      </w:tr>
      <w:tr w14:paraId="03DD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1" w:hRule="atLeast"/>
          <w:jc w:val="center"/>
        </w:trPr>
        <w:tc>
          <w:tcPr>
            <w:tcW w:w="1619" w:type="dxa"/>
            <w:tcBorders>
              <w:right w:val="nil"/>
            </w:tcBorders>
            <w:vAlign w:val="center"/>
          </w:tcPr>
          <w:p w14:paraId="6D6CF54F">
            <w:pPr>
              <w:spacing w:line="360" w:lineRule="auto"/>
              <w:ind w:right="-143" w:rightChars="-68"/>
              <w:jc w:val="center"/>
              <w:rPr>
                <w:rFonts w:ascii="宋体" w:hAnsi="宋体" w:cs="宋体"/>
                <w:color w:val="auto"/>
                <w:sz w:val="24"/>
                <w:highlight w:val="none"/>
              </w:rPr>
            </w:pPr>
            <w:r>
              <w:rPr>
                <w:rFonts w:hint="eastAsia" w:ascii="宋体" w:hAnsi="宋体" w:cs="宋体"/>
                <w:color w:val="auto"/>
                <w:sz w:val="24"/>
                <w:highlight w:val="none"/>
              </w:rPr>
              <w:t>供应商名称</w:t>
            </w:r>
          </w:p>
        </w:tc>
        <w:tc>
          <w:tcPr>
            <w:tcW w:w="7660" w:type="dxa"/>
            <w:gridSpan w:val="3"/>
            <w:tcBorders>
              <w:right w:val="single" w:color="auto" w:sz="4" w:space="0"/>
            </w:tcBorders>
            <w:vAlign w:val="center"/>
          </w:tcPr>
          <w:p w14:paraId="2A3C1552">
            <w:pPr>
              <w:spacing w:line="360" w:lineRule="auto"/>
              <w:ind w:right="-340" w:rightChars="-162"/>
              <w:jc w:val="center"/>
              <w:rPr>
                <w:rFonts w:ascii="宋体" w:hAnsi="宋体" w:cs="宋体"/>
                <w:color w:val="auto"/>
                <w:sz w:val="24"/>
                <w:highlight w:val="none"/>
              </w:rPr>
            </w:pPr>
          </w:p>
        </w:tc>
      </w:tr>
      <w:tr w14:paraId="606C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1" w:hRule="atLeast"/>
          <w:jc w:val="center"/>
        </w:trPr>
        <w:tc>
          <w:tcPr>
            <w:tcW w:w="1619" w:type="dxa"/>
            <w:tcBorders>
              <w:right w:val="nil"/>
            </w:tcBorders>
            <w:vAlign w:val="center"/>
          </w:tcPr>
          <w:p w14:paraId="17A40854">
            <w:pPr>
              <w:spacing w:line="360" w:lineRule="auto"/>
              <w:ind w:right="-143" w:rightChars="-68"/>
              <w:jc w:val="center"/>
              <w:rPr>
                <w:rFonts w:ascii="宋体" w:hAnsi="宋体" w:cs="宋体"/>
                <w:color w:val="auto"/>
                <w:sz w:val="24"/>
                <w:highlight w:val="none"/>
              </w:rPr>
            </w:pPr>
            <w:r>
              <w:rPr>
                <w:rFonts w:hint="eastAsia" w:ascii="宋体" w:hAnsi="宋体" w:cs="宋体"/>
                <w:color w:val="auto"/>
                <w:sz w:val="24"/>
                <w:highlight w:val="none"/>
              </w:rPr>
              <w:t>项目负责人</w:t>
            </w:r>
          </w:p>
        </w:tc>
        <w:tc>
          <w:tcPr>
            <w:tcW w:w="1738" w:type="dxa"/>
            <w:tcBorders>
              <w:right w:val="single" w:color="auto" w:sz="4" w:space="0"/>
            </w:tcBorders>
            <w:vAlign w:val="center"/>
          </w:tcPr>
          <w:p w14:paraId="65E85118">
            <w:pPr>
              <w:spacing w:line="360" w:lineRule="auto"/>
              <w:ind w:right="-340" w:rightChars="-162"/>
              <w:jc w:val="center"/>
              <w:rPr>
                <w:rFonts w:ascii="宋体" w:hAnsi="宋体" w:cs="宋体"/>
                <w:color w:val="auto"/>
                <w:sz w:val="24"/>
                <w:highlight w:val="none"/>
              </w:rPr>
            </w:pPr>
          </w:p>
        </w:tc>
        <w:tc>
          <w:tcPr>
            <w:tcW w:w="2731" w:type="dxa"/>
            <w:tcBorders>
              <w:right w:val="single" w:color="auto" w:sz="4" w:space="0"/>
            </w:tcBorders>
            <w:vAlign w:val="center"/>
          </w:tcPr>
          <w:p w14:paraId="68D5CE8E">
            <w:pPr>
              <w:spacing w:line="360" w:lineRule="auto"/>
              <w:ind w:right="-340" w:rightChars="-162"/>
              <w:jc w:val="center"/>
              <w:rPr>
                <w:rFonts w:ascii="宋体" w:hAnsi="宋体" w:cs="宋体"/>
                <w:color w:val="auto"/>
                <w:sz w:val="24"/>
                <w:highlight w:val="none"/>
              </w:rPr>
            </w:pPr>
            <w:r>
              <w:rPr>
                <w:rFonts w:hint="eastAsia" w:ascii="宋体" w:hAnsi="宋体" w:cs="宋体"/>
                <w:color w:val="auto"/>
                <w:sz w:val="24"/>
                <w:highlight w:val="none"/>
              </w:rPr>
              <w:t>联系方式</w:t>
            </w:r>
          </w:p>
        </w:tc>
        <w:tc>
          <w:tcPr>
            <w:tcW w:w="3191" w:type="dxa"/>
            <w:tcBorders>
              <w:right w:val="single" w:color="auto" w:sz="4" w:space="0"/>
            </w:tcBorders>
            <w:vAlign w:val="center"/>
          </w:tcPr>
          <w:p w14:paraId="348CFC20">
            <w:pPr>
              <w:spacing w:line="360" w:lineRule="auto"/>
              <w:ind w:right="-340" w:rightChars="-162"/>
              <w:jc w:val="center"/>
              <w:rPr>
                <w:rFonts w:ascii="宋体" w:hAnsi="宋体" w:cs="宋体"/>
                <w:color w:val="auto"/>
                <w:sz w:val="24"/>
                <w:highlight w:val="none"/>
              </w:rPr>
            </w:pPr>
          </w:p>
        </w:tc>
      </w:tr>
      <w:tr w14:paraId="24987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9" w:hRule="atLeast"/>
          <w:jc w:val="center"/>
        </w:trPr>
        <w:tc>
          <w:tcPr>
            <w:tcW w:w="1619" w:type="dxa"/>
            <w:tcBorders>
              <w:bottom w:val="single" w:color="auto" w:sz="4" w:space="0"/>
            </w:tcBorders>
            <w:vAlign w:val="center"/>
          </w:tcPr>
          <w:p w14:paraId="6F5D0CBC">
            <w:pPr>
              <w:spacing w:line="360" w:lineRule="auto"/>
              <w:ind w:right="-143" w:rightChars="-68"/>
              <w:jc w:val="center"/>
              <w:rPr>
                <w:rFonts w:ascii="宋体" w:hAnsi="宋体" w:cs="宋体"/>
                <w:color w:val="auto"/>
                <w:sz w:val="24"/>
                <w:highlight w:val="none"/>
              </w:rPr>
            </w:pPr>
            <w:r>
              <w:rPr>
                <w:rFonts w:hint="eastAsia" w:ascii="宋体" w:hAnsi="宋体" w:cs="宋体"/>
                <w:color w:val="auto"/>
                <w:sz w:val="24"/>
                <w:highlight w:val="none"/>
              </w:rPr>
              <w:t>投标总报价</w:t>
            </w:r>
          </w:p>
        </w:tc>
        <w:tc>
          <w:tcPr>
            <w:tcW w:w="7660" w:type="dxa"/>
            <w:gridSpan w:val="3"/>
            <w:tcBorders>
              <w:bottom w:val="single" w:color="auto" w:sz="4" w:space="0"/>
            </w:tcBorders>
            <w:vAlign w:val="center"/>
          </w:tcPr>
          <w:p w14:paraId="392AB808">
            <w:pPr>
              <w:widowControl/>
              <w:spacing w:line="500" w:lineRule="exact"/>
              <w:ind w:right="-340" w:rightChars="-162"/>
              <w:rPr>
                <w:rFonts w:ascii="宋体" w:hAnsi="宋体" w:cs="宋体"/>
                <w:color w:val="auto"/>
                <w:sz w:val="24"/>
                <w:highlight w:val="none"/>
              </w:rPr>
            </w:pPr>
            <w:r>
              <w:rPr>
                <w:rFonts w:hint="eastAsia" w:ascii="宋体" w:hAnsi="宋体" w:cs="宋体"/>
                <w:color w:val="auto"/>
                <w:sz w:val="24"/>
                <w:highlight w:val="none"/>
              </w:rPr>
              <w:t>大写：</w:t>
            </w:r>
          </w:p>
          <w:p w14:paraId="675F4D0D">
            <w:pPr>
              <w:ind w:right="-340" w:rightChars="-162"/>
              <w:rPr>
                <w:rFonts w:ascii="宋体" w:hAnsi="宋体" w:cs="宋体"/>
                <w:color w:val="auto"/>
                <w:sz w:val="24"/>
                <w:highlight w:val="none"/>
              </w:rPr>
            </w:pPr>
          </w:p>
          <w:p w14:paraId="1742B8D8">
            <w:pPr>
              <w:ind w:right="-340" w:rightChars="-162"/>
              <w:rPr>
                <w:rFonts w:ascii="宋体" w:hAnsi="宋体" w:cs="宋体"/>
                <w:color w:val="auto"/>
                <w:sz w:val="24"/>
                <w:highlight w:val="none"/>
              </w:rPr>
            </w:pPr>
            <w:r>
              <w:rPr>
                <w:rFonts w:hint="eastAsia" w:ascii="宋体" w:hAnsi="宋体" w:cs="宋体"/>
                <w:color w:val="auto"/>
                <w:sz w:val="24"/>
                <w:highlight w:val="none"/>
              </w:rPr>
              <w:t>小写：元</w:t>
            </w:r>
          </w:p>
        </w:tc>
      </w:tr>
      <w:tr w14:paraId="30B0E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1619" w:type="dxa"/>
            <w:tcBorders>
              <w:bottom w:val="single" w:color="auto" w:sz="4" w:space="0"/>
            </w:tcBorders>
            <w:vAlign w:val="center"/>
          </w:tcPr>
          <w:p w14:paraId="31565DDF">
            <w:pPr>
              <w:spacing w:line="360" w:lineRule="auto"/>
              <w:ind w:right="-143" w:rightChars="-68"/>
              <w:jc w:val="center"/>
              <w:rPr>
                <w:rFonts w:ascii="宋体" w:hAnsi="宋体" w:cs="宋体"/>
                <w:color w:val="auto"/>
                <w:sz w:val="24"/>
                <w:highlight w:val="none"/>
              </w:rPr>
            </w:pPr>
            <w:r>
              <w:rPr>
                <w:rFonts w:hint="eastAsia" w:ascii="宋体" w:hAnsi="宋体" w:cs="宋体"/>
                <w:color w:val="auto"/>
                <w:sz w:val="24"/>
                <w:highlight w:val="none"/>
              </w:rPr>
              <w:t>交货期限</w:t>
            </w:r>
          </w:p>
        </w:tc>
        <w:tc>
          <w:tcPr>
            <w:tcW w:w="7660" w:type="dxa"/>
            <w:gridSpan w:val="3"/>
            <w:tcBorders>
              <w:bottom w:val="single" w:color="auto" w:sz="4" w:space="0"/>
            </w:tcBorders>
            <w:vAlign w:val="center"/>
          </w:tcPr>
          <w:p w14:paraId="5F99B073">
            <w:pPr>
              <w:spacing w:line="360" w:lineRule="auto"/>
              <w:ind w:right="-340" w:rightChars="-162" w:firstLine="2640" w:firstLineChars="1100"/>
              <w:rPr>
                <w:rFonts w:ascii="宋体" w:hAnsi="宋体" w:cs="宋体"/>
                <w:color w:val="auto"/>
                <w:sz w:val="24"/>
                <w:highlight w:val="none"/>
              </w:rPr>
            </w:pPr>
          </w:p>
        </w:tc>
      </w:tr>
      <w:tr w14:paraId="5554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jc w:val="center"/>
        </w:trPr>
        <w:tc>
          <w:tcPr>
            <w:tcW w:w="1619" w:type="dxa"/>
            <w:tcBorders>
              <w:bottom w:val="single" w:color="auto" w:sz="4" w:space="0"/>
            </w:tcBorders>
            <w:vAlign w:val="center"/>
          </w:tcPr>
          <w:p w14:paraId="4B514A1D">
            <w:pPr>
              <w:spacing w:line="360" w:lineRule="auto"/>
              <w:ind w:right="-143" w:rightChars="-68"/>
              <w:jc w:val="center"/>
              <w:rPr>
                <w:rFonts w:ascii="宋体" w:hAnsi="宋体" w:cs="宋体"/>
                <w:color w:val="auto"/>
                <w:sz w:val="24"/>
                <w:highlight w:val="none"/>
              </w:rPr>
            </w:pPr>
            <w:r>
              <w:rPr>
                <w:rFonts w:hint="eastAsia" w:ascii="宋体" w:hAnsi="宋体" w:cs="宋体"/>
                <w:color w:val="auto"/>
                <w:sz w:val="24"/>
                <w:highlight w:val="none"/>
              </w:rPr>
              <w:t>质量要求</w:t>
            </w:r>
          </w:p>
        </w:tc>
        <w:tc>
          <w:tcPr>
            <w:tcW w:w="7660" w:type="dxa"/>
            <w:gridSpan w:val="3"/>
            <w:tcBorders>
              <w:bottom w:val="single" w:color="auto" w:sz="4" w:space="0"/>
            </w:tcBorders>
            <w:vAlign w:val="center"/>
          </w:tcPr>
          <w:p w14:paraId="71525705">
            <w:pPr>
              <w:spacing w:line="360" w:lineRule="auto"/>
              <w:ind w:right="-340" w:rightChars="-162"/>
              <w:jc w:val="left"/>
              <w:rPr>
                <w:rFonts w:ascii="宋体" w:hAnsi="宋体" w:cs="宋体"/>
                <w:color w:val="auto"/>
                <w:sz w:val="24"/>
                <w:highlight w:val="none"/>
              </w:rPr>
            </w:pPr>
          </w:p>
        </w:tc>
      </w:tr>
      <w:tr w14:paraId="672D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jc w:val="center"/>
        </w:trPr>
        <w:tc>
          <w:tcPr>
            <w:tcW w:w="1619" w:type="dxa"/>
            <w:tcBorders>
              <w:bottom w:val="single" w:color="auto" w:sz="4" w:space="0"/>
            </w:tcBorders>
            <w:vAlign w:val="center"/>
          </w:tcPr>
          <w:p w14:paraId="7828C51C">
            <w:pPr>
              <w:spacing w:line="360" w:lineRule="auto"/>
              <w:ind w:right="-143" w:rightChars="-68"/>
              <w:jc w:val="center"/>
              <w:rPr>
                <w:rFonts w:ascii="宋体" w:hAnsi="宋体" w:cs="宋体"/>
                <w:color w:val="auto"/>
                <w:sz w:val="24"/>
                <w:highlight w:val="none"/>
              </w:rPr>
            </w:pPr>
            <w:r>
              <w:rPr>
                <w:rFonts w:hint="eastAsia" w:ascii="宋体" w:hAnsi="宋体" w:cs="宋体"/>
                <w:color w:val="auto"/>
                <w:sz w:val="24"/>
                <w:highlight w:val="none"/>
              </w:rPr>
              <w:t>质保期</w:t>
            </w:r>
          </w:p>
        </w:tc>
        <w:tc>
          <w:tcPr>
            <w:tcW w:w="7660" w:type="dxa"/>
            <w:gridSpan w:val="3"/>
            <w:tcBorders>
              <w:bottom w:val="single" w:color="auto" w:sz="4" w:space="0"/>
            </w:tcBorders>
            <w:vAlign w:val="center"/>
          </w:tcPr>
          <w:p w14:paraId="349B4225">
            <w:pPr>
              <w:spacing w:line="360" w:lineRule="auto"/>
              <w:ind w:right="-340" w:rightChars="-162"/>
              <w:jc w:val="left"/>
              <w:rPr>
                <w:rFonts w:ascii="宋体" w:hAnsi="宋体" w:cs="宋体"/>
                <w:color w:val="auto"/>
                <w:sz w:val="24"/>
                <w:highlight w:val="none"/>
              </w:rPr>
            </w:pPr>
          </w:p>
        </w:tc>
      </w:tr>
      <w:tr w14:paraId="7709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1619" w:type="dxa"/>
            <w:tcBorders>
              <w:bottom w:val="single" w:color="auto" w:sz="4" w:space="0"/>
            </w:tcBorders>
            <w:vAlign w:val="center"/>
          </w:tcPr>
          <w:p w14:paraId="7E16DAB5">
            <w:pPr>
              <w:spacing w:line="360" w:lineRule="auto"/>
              <w:ind w:right="-143" w:rightChars="-68"/>
              <w:jc w:val="center"/>
              <w:rPr>
                <w:rFonts w:ascii="宋体" w:hAnsi="宋体" w:cs="宋体"/>
                <w:color w:val="auto"/>
                <w:sz w:val="24"/>
                <w:highlight w:val="none"/>
              </w:rPr>
            </w:pPr>
            <w:r>
              <w:rPr>
                <w:rFonts w:hint="eastAsia" w:ascii="宋体" w:hAnsi="宋体" w:cs="宋体"/>
                <w:color w:val="auto"/>
                <w:sz w:val="24"/>
                <w:highlight w:val="none"/>
              </w:rPr>
              <w:t>投标有效期</w:t>
            </w:r>
          </w:p>
        </w:tc>
        <w:tc>
          <w:tcPr>
            <w:tcW w:w="7660" w:type="dxa"/>
            <w:gridSpan w:val="3"/>
            <w:tcBorders>
              <w:bottom w:val="single" w:color="auto" w:sz="4" w:space="0"/>
            </w:tcBorders>
            <w:vAlign w:val="center"/>
          </w:tcPr>
          <w:p w14:paraId="384D7ACD">
            <w:pPr>
              <w:spacing w:line="360" w:lineRule="auto"/>
              <w:ind w:right="-340" w:rightChars="-162"/>
              <w:jc w:val="left"/>
              <w:rPr>
                <w:rFonts w:ascii="宋体" w:hAnsi="宋体" w:cs="宋体"/>
                <w:color w:val="auto"/>
                <w:sz w:val="24"/>
                <w:highlight w:val="none"/>
              </w:rPr>
            </w:pPr>
            <w:r>
              <w:rPr>
                <w:rFonts w:hint="eastAsia" w:ascii="宋体" w:hAnsi="宋体" w:cs="宋体"/>
                <w:color w:val="auto"/>
                <w:sz w:val="24"/>
                <w:szCs w:val="24"/>
                <w:highlight w:val="none"/>
              </w:rPr>
              <w:t>从投标截止之日起</w:t>
            </w:r>
            <w:r>
              <w:rPr>
                <w:rFonts w:ascii="宋体" w:hAnsi="宋体" w:cs="宋体"/>
                <w:color w:val="auto"/>
                <w:sz w:val="24"/>
                <w:szCs w:val="24"/>
                <w:highlight w:val="none"/>
              </w:rPr>
              <w:t>60</w:t>
            </w:r>
            <w:r>
              <w:rPr>
                <w:rFonts w:hint="eastAsia" w:ascii="宋体" w:hAnsi="宋体" w:cs="宋体"/>
                <w:color w:val="auto"/>
                <w:sz w:val="24"/>
                <w:szCs w:val="24"/>
                <w:highlight w:val="none"/>
              </w:rPr>
              <w:t>日历天</w:t>
            </w:r>
          </w:p>
        </w:tc>
      </w:tr>
      <w:tr w14:paraId="3C226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1" w:hRule="atLeast"/>
          <w:jc w:val="center"/>
        </w:trPr>
        <w:tc>
          <w:tcPr>
            <w:tcW w:w="1619" w:type="dxa"/>
            <w:tcBorders>
              <w:right w:val="single" w:color="auto" w:sz="4" w:space="0"/>
            </w:tcBorders>
            <w:vAlign w:val="center"/>
          </w:tcPr>
          <w:p w14:paraId="59F1B679">
            <w:pPr>
              <w:spacing w:line="360" w:lineRule="auto"/>
              <w:ind w:right="-143" w:rightChars="-68"/>
              <w:jc w:val="center"/>
              <w:rPr>
                <w:rFonts w:ascii="宋体" w:hAnsi="宋体" w:cs="宋体"/>
                <w:color w:val="auto"/>
                <w:sz w:val="24"/>
                <w:highlight w:val="none"/>
              </w:rPr>
            </w:pPr>
            <w:r>
              <w:rPr>
                <w:rFonts w:hint="eastAsia" w:ascii="宋体" w:hAnsi="宋体" w:cs="宋体"/>
                <w:color w:val="auto"/>
                <w:sz w:val="24"/>
                <w:highlight w:val="none"/>
              </w:rPr>
              <w:t>备注</w:t>
            </w:r>
          </w:p>
        </w:tc>
        <w:tc>
          <w:tcPr>
            <w:tcW w:w="7660" w:type="dxa"/>
            <w:gridSpan w:val="3"/>
            <w:tcBorders>
              <w:right w:val="single" w:color="auto" w:sz="4" w:space="0"/>
            </w:tcBorders>
            <w:vAlign w:val="center"/>
          </w:tcPr>
          <w:p w14:paraId="54565529">
            <w:pPr>
              <w:spacing w:line="360" w:lineRule="auto"/>
              <w:ind w:right="-340" w:rightChars="-162"/>
              <w:rPr>
                <w:rFonts w:ascii="宋体" w:hAnsi="宋体" w:cs="宋体"/>
                <w:color w:val="auto"/>
                <w:sz w:val="24"/>
                <w:highlight w:val="none"/>
              </w:rPr>
            </w:pPr>
            <w:r>
              <w:rPr>
                <w:rFonts w:hint="eastAsia" w:ascii="宋体" w:hAnsi="宋体" w:cs="宋体"/>
                <w:color w:val="auto"/>
                <w:sz w:val="24"/>
                <w:highlight w:val="none"/>
              </w:rPr>
              <w:t>可另行附页</w:t>
            </w:r>
          </w:p>
        </w:tc>
      </w:tr>
    </w:tbl>
    <w:p w14:paraId="3B9ED0CD">
      <w:pPr>
        <w:spacing w:line="360" w:lineRule="auto"/>
        <w:ind w:right="-340" w:rightChars="-162"/>
        <w:rPr>
          <w:rFonts w:ascii="宋体" w:hAnsi="宋体" w:cs="宋体"/>
          <w:color w:val="auto"/>
          <w:sz w:val="24"/>
          <w:highlight w:val="none"/>
        </w:rPr>
      </w:pPr>
    </w:p>
    <w:p w14:paraId="57269B9B">
      <w:pPr>
        <w:pStyle w:val="9"/>
        <w:spacing w:line="360" w:lineRule="exact"/>
        <w:ind w:left="0" w:leftChars="0" w:right="-340" w:rightChars="-162" w:firstLine="0" w:firstLineChars="0"/>
        <w:rPr>
          <w:rFonts w:ascii="宋体" w:hAnsi="宋体" w:cs="宋体"/>
          <w:color w:val="auto"/>
          <w:sz w:val="24"/>
          <w:highlight w:val="none"/>
          <w:u w:val="single"/>
        </w:rPr>
      </w:pPr>
      <w:r>
        <w:rPr>
          <w:rFonts w:hint="eastAsia" w:ascii="宋体" w:hAnsi="宋体" w:cs="宋体"/>
          <w:color w:val="auto"/>
          <w:kern w:val="0"/>
          <w:sz w:val="24"/>
          <w:highlight w:val="none"/>
        </w:rPr>
        <w:t>投标供应商</w:t>
      </w:r>
      <w:r>
        <w:rPr>
          <w:rFonts w:hint="eastAsia" w:ascii="宋体" w:hAnsi="宋体" w:cs="宋体"/>
          <w:color w:val="auto"/>
          <w:sz w:val="24"/>
          <w:highlight w:val="none"/>
        </w:rPr>
        <w:t>：（电子签章）</w:t>
      </w:r>
    </w:p>
    <w:p w14:paraId="52C3233E">
      <w:pPr>
        <w:pStyle w:val="9"/>
        <w:spacing w:line="360" w:lineRule="exact"/>
        <w:ind w:left="1" w:leftChars="0" w:right="-340" w:rightChars="-162" w:firstLine="2880" w:firstLineChars="1200"/>
        <w:rPr>
          <w:rFonts w:ascii="宋体" w:hAnsi="宋体" w:cs="宋体"/>
          <w:color w:val="auto"/>
          <w:sz w:val="24"/>
          <w:highlight w:val="none"/>
          <w:u w:val="single"/>
        </w:rPr>
      </w:pPr>
    </w:p>
    <w:p w14:paraId="6FB8E980">
      <w:pPr>
        <w:spacing w:line="460" w:lineRule="exact"/>
        <w:ind w:right="-57" w:rightChars="-27"/>
        <w:jc w:val="left"/>
        <w:rPr>
          <w:rFonts w:ascii="宋体" w:hAnsi="宋体" w:cs="宋体"/>
          <w:color w:val="auto"/>
          <w:sz w:val="24"/>
          <w:highlight w:val="none"/>
          <w:lang w:bidi="zh-CN"/>
        </w:rPr>
      </w:pPr>
      <w:r>
        <w:rPr>
          <w:rFonts w:hint="eastAsia" w:ascii="宋体" w:hAnsi="宋体" w:cs="宋体"/>
          <w:color w:val="auto"/>
          <w:sz w:val="24"/>
          <w:highlight w:val="none"/>
          <w:lang w:bidi="zh-CN"/>
        </w:rPr>
        <w:t>法定代表人或其委托代理人：（</w:t>
      </w:r>
      <w:r>
        <w:rPr>
          <w:rFonts w:hint="eastAsia" w:ascii="宋体" w:hAnsi="宋体" w:cs="宋体"/>
          <w:color w:val="auto"/>
          <w:sz w:val="24"/>
          <w:highlight w:val="none"/>
        </w:rPr>
        <w:t>电子签章或签字</w:t>
      </w:r>
      <w:r>
        <w:rPr>
          <w:rFonts w:hint="eastAsia" w:ascii="宋体" w:hAnsi="宋体" w:cs="宋体"/>
          <w:color w:val="auto"/>
          <w:sz w:val="24"/>
          <w:highlight w:val="none"/>
          <w:lang w:bidi="zh-CN"/>
        </w:rPr>
        <w:t>）</w:t>
      </w:r>
    </w:p>
    <w:p w14:paraId="219717B8">
      <w:pPr>
        <w:pStyle w:val="9"/>
        <w:spacing w:line="360" w:lineRule="exact"/>
        <w:ind w:left="1" w:leftChars="0" w:right="-340" w:rightChars="-162" w:firstLine="480" w:firstLineChars="200"/>
        <w:rPr>
          <w:rFonts w:ascii="宋体" w:hAnsi="宋体" w:cs="宋体"/>
          <w:color w:val="auto"/>
          <w:sz w:val="24"/>
          <w:highlight w:val="none"/>
        </w:rPr>
      </w:pPr>
    </w:p>
    <w:p w14:paraId="7E531EA8">
      <w:pPr>
        <w:pStyle w:val="9"/>
        <w:spacing w:line="360" w:lineRule="exact"/>
        <w:ind w:left="0" w:leftChars="0" w:right="-340" w:rightChars="-162" w:firstLine="0" w:firstLineChars="0"/>
        <w:rPr>
          <w:rFonts w:ascii="宋体" w:hAnsi="宋体" w:cs="宋体"/>
          <w:b/>
          <w:bCs/>
          <w:color w:val="auto"/>
          <w:sz w:val="24"/>
          <w:highlight w:val="none"/>
        </w:rPr>
      </w:pPr>
      <w:r>
        <w:rPr>
          <w:rFonts w:hint="eastAsia" w:ascii="宋体" w:hAnsi="宋体" w:cs="宋体"/>
          <w:color w:val="auto"/>
          <w:sz w:val="24"/>
          <w:highlight w:val="none"/>
        </w:rPr>
        <w:t>日    期：年月日</w:t>
      </w:r>
    </w:p>
    <w:p w14:paraId="28508915">
      <w:pPr>
        <w:spacing w:line="440" w:lineRule="exact"/>
        <w:ind w:right="-340" w:rightChars="-162"/>
        <w:jc w:val="center"/>
        <w:rPr>
          <w:rFonts w:ascii="宋体" w:hAnsi="宋体" w:cs="宋体"/>
          <w:color w:val="auto"/>
          <w:sz w:val="24"/>
          <w:highlight w:val="none"/>
        </w:rPr>
      </w:pPr>
    </w:p>
    <w:p w14:paraId="1947DCF2">
      <w:pPr>
        <w:spacing w:line="440" w:lineRule="exact"/>
        <w:ind w:right="-340" w:rightChars="-162"/>
        <w:jc w:val="center"/>
        <w:outlineLvl w:val="0"/>
        <w:rPr>
          <w:rFonts w:hint="eastAsia" w:ascii="宋体" w:hAnsi="宋体" w:cs="宋体"/>
          <w:b/>
          <w:color w:val="auto"/>
          <w:sz w:val="32"/>
          <w:szCs w:val="32"/>
          <w:highlight w:val="none"/>
        </w:rPr>
      </w:pPr>
      <w:bookmarkStart w:id="132" w:name="_Toc31998"/>
    </w:p>
    <w:p w14:paraId="7A1EBADA">
      <w:pPr>
        <w:spacing w:line="440" w:lineRule="exact"/>
        <w:ind w:right="-340" w:rightChars="-162"/>
        <w:jc w:val="center"/>
        <w:outlineLvl w:val="0"/>
        <w:rPr>
          <w:rFonts w:ascii="宋体" w:hAnsi="宋体" w:cs="宋体"/>
          <w:b/>
          <w:color w:val="auto"/>
          <w:sz w:val="32"/>
          <w:szCs w:val="32"/>
          <w:highlight w:val="none"/>
        </w:rPr>
      </w:pPr>
      <w:r>
        <w:rPr>
          <w:rFonts w:hint="eastAsia" w:ascii="宋体" w:hAnsi="宋体" w:cs="宋体"/>
          <w:b/>
          <w:color w:val="auto"/>
          <w:sz w:val="32"/>
          <w:szCs w:val="32"/>
          <w:highlight w:val="none"/>
        </w:rPr>
        <w:t>二、法定代表人身份证明</w:t>
      </w:r>
      <w:bookmarkEnd w:id="132"/>
    </w:p>
    <w:p w14:paraId="38C2F852">
      <w:pPr>
        <w:spacing w:line="480" w:lineRule="exact"/>
        <w:ind w:right="-340" w:rightChars="-162"/>
        <w:textAlignment w:val="center"/>
        <w:rPr>
          <w:rFonts w:ascii="宋体" w:hAnsi="宋体" w:cs="宋体"/>
          <w:color w:val="auto"/>
          <w:sz w:val="24"/>
          <w:szCs w:val="21"/>
          <w:highlight w:val="none"/>
        </w:rPr>
      </w:pPr>
    </w:p>
    <w:p w14:paraId="484B3F19">
      <w:pPr>
        <w:autoSpaceDE w:val="0"/>
        <w:autoSpaceDN w:val="0"/>
        <w:adjustRightInd w:val="0"/>
        <w:spacing w:line="480" w:lineRule="auto"/>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投标供应商名称：</w:t>
      </w:r>
    </w:p>
    <w:p w14:paraId="365D3B81">
      <w:pPr>
        <w:autoSpaceDE w:val="0"/>
        <w:autoSpaceDN w:val="0"/>
        <w:adjustRightInd w:val="0"/>
        <w:spacing w:line="48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单位性质：</w:t>
      </w:r>
    </w:p>
    <w:p w14:paraId="0A3B3F9C">
      <w:pPr>
        <w:autoSpaceDE w:val="0"/>
        <w:autoSpaceDN w:val="0"/>
        <w:adjustRightInd w:val="0"/>
        <w:spacing w:line="48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地址：</w:t>
      </w:r>
    </w:p>
    <w:p w14:paraId="4ED351DE">
      <w:pPr>
        <w:autoSpaceDE w:val="0"/>
        <w:autoSpaceDN w:val="0"/>
        <w:adjustRightInd w:val="0"/>
        <w:spacing w:line="48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成立时间：年月日</w:t>
      </w:r>
    </w:p>
    <w:p w14:paraId="381C27E0">
      <w:pPr>
        <w:autoSpaceDE w:val="0"/>
        <w:autoSpaceDN w:val="0"/>
        <w:adjustRightInd w:val="0"/>
        <w:spacing w:line="48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经营期限：</w:t>
      </w:r>
    </w:p>
    <w:p w14:paraId="146EFA7A">
      <w:pPr>
        <w:autoSpaceDE w:val="0"/>
        <w:autoSpaceDN w:val="0"/>
        <w:adjustRightInd w:val="0"/>
        <w:spacing w:line="480" w:lineRule="auto"/>
        <w:ind w:firstLine="48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姓名：性别：</w:t>
      </w:r>
    </w:p>
    <w:p w14:paraId="1B717D3B">
      <w:pPr>
        <w:autoSpaceDE w:val="0"/>
        <w:autoSpaceDN w:val="0"/>
        <w:adjustRightInd w:val="0"/>
        <w:spacing w:line="480" w:lineRule="auto"/>
        <w:ind w:firstLine="48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年龄 ：职务：</w:t>
      </w:r>
    </w:p>
    <w:p w14:paraId="32611D4A">
      <w:pPr>
        <w:autoSpaceDE w:val="0"/>
        <w:autoSpaceDN w:val="0"/>
        <w:adjustRightInd w:val="0"/>
        <w:spacing w:line="480" w:lineRule="auto"/>
        <w:ind w:firstLine="480"/>
        <w:jc w:val="left"/>
        <w:rPr>
          <w:rFonts w:ascii="宋体" w:hAnsi="宋体" w:cs="宋体"/>
          <w:color w:val="auto"/>
          <w:kern w:val="0"/>
          <w:sz w:val="24"/>
          <w:highlight w:val="none"/>
          <w:u w:val="single"/>
        </w:rPr>
      </w:pPr>
      <w:r>
        <w:rPr>
          <w:rFonts w:hint="eastAsia" w:ascii="宋体" w:hAnsi="宋体" w:cs="宋体"/>
          <w:color w:val="auto"/>
          <w:kern w:val="0"/>
          <w:sz w:val="24"/>
          <w:highlight w:val="none"/>
        </w:rPr>
        <w:t>身份证号码：，系 （投标供应商名称）的法定代表人。</w:t>
      </w:r>
    </w:p>
    <w:p w14:paraId="73703E7E">
      <w:pPr>
        <w:autoSpaceDE w:val="0"/>
        <w:autoSpaceDN w:val="0"/>
        <w:adjustRightInd w:val="0"/>
        <w:spacing w:line="48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特此证明。</w:t>
      </w:r>
    </w:p>
    <w:p w14:paraId="0B94A5AC">
      <w:pPr>
        <w:autoSpaceDE w:val="0"/>
        <w:autoSpaceDN w:val="0"/>
        <w:adjustRightInd w:val="0"/>
        <w:spacing w:line="70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附：法定代表人身份证扫描件，</w:t>
      </w:r>
      <w:r>
        <w:rPr>
          <w:rFonts w:hint="eastAsia" w:ascii="宋体" w:hAnsi="宋体" w:cs="宋体"/>
          <w:color w:val="auto"/>
          <w:sz w:val="24"/>
          <w:szCs w:val="21"/>
          <w:highlight w:val="none"/>
        </w:rPr>
        <w:t>加盖公章</w:t>
      </w:r>
    </w:p>
    <w:p w14:paraId="7B1FAF81">
      <w:pPr>
        <w:autoSpaceDE w:val="0"/>
        <w:autoSpaceDN w:val="0"/>
        <w:adjustRightInd w:val="0"/>
        <w:spacing w:line="700" w:lineRule="exact"/>
        <w:ind w:firstLine="3084" w:firstLineChars="1285"/>
        <w:jc w:val="right"/>
        <w:rPr>
          <w:rFonts w:ascii="宋体" w:hAnsi="宋体" w:cs="宋体"/>
          <w:color w:val="auto"/>
          <w:kern w:val="0"/>
          <w:sz w:val="24"/>
          <w:highlight w:val="none"/>
        </w:rPr>
      </w:pPr>
    </w:p>
    <w:p w14:paraId="3E60DB1D">
      <w:pPr>
        <w:autoSpaceDE w:val="0"/>
        <w:autoSpaceDN w:val="0"/>
        <w:adjustRightInd w:val="0"/>
        <w:spacing w:line="700" w:lineRule="exact"/>
        <w:ind w:firstLine="3084" w:firstLineChars="1285"/>
        <w:jc w:val="right"/>
        <w:rPr>
          <w:rFonts w:ascii="宋体" w:hAnsi="宋体" w:cs="宋体"/>
          <w:color w:val="auto"/>
          <w:kern w:val="0"/>
          <w:sz w:val="24"/>
          <w:highlight w:val="none"/>
        </w:rPr>
      </w:pPr>
    </w:p>
    <w:p w14:paraId="79C48375">
      <w:pPr>
        <w:autoSpaceDE w:val="0"/>
        <w:autoSpaceDN w:val="0"/>
        <w:adjustRightInd w:val="0"/>
        <w:spacing w:line="7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投标</w:t>
      </w:r>
      <w:r>
        <w:rPr>
          <w:rFonts w:hint="eastAsia" w:ascii="宋体" w:hAnsi="宋体" w:cs="宋体"/>
          <w:color w:val="auto"/>
          <w:kern w:val="0"/>
          <w:sz w:val="24"/>
          <w:szCs w:val="24"/>
          <w:highlight w:val="none"/>
        </w:rPr>
        <w:t>供应商</w:t>
      </w:r>
      <w:r>
        <w:rPr>
          <w:rFonts w:hint="eastAsia" w:ascii="宋体" w:hAnsi="宋体" w:cs="宋体"/>
          <w:color w:val="auto"/>
          <w:kern w:val="0"/>
          <w:sz w:val="24"/>
          <w:highlight w:val="none"/>
        </w:rPr>
        <w:t>：（电子签章）</w:t>
      </w:r>
    </w:p>
    <w:p w14:paraId="1A0C2422">
      <w:pPr>
        <w:autoSpaceDE w:val="0"/>
        <w:autoSpaceDN w:val="0"/>
        <w:adjustRightInd w:val="0"/>
        <w:spacing w:line="700" w:lineRule="exact"/>
        <w:ind w:right="420"/>
        <w:rPr>
          <w:rFonts w:ascii="宋体" w:hAnsi="宋体" w:cs="宋体"/>
          <w:color w:val="auto"/>
          <w:kern w:val="0"/>
          <w:sz w:val="24"/>
          <w:highlight w:val="none"/>
        </w:rPr>
      </w:pPr>
      <w:r>
        <w:rPr>
          <w:rFonts w:hint="eastAsia" w:ascii="宋体" w:hAnsi="宋体" w:cs="宋体"/>
          <w:color w:val="auto"/>
          <w:kern w:val="0"/>
          <w:sz w:val="24"/>
          <w:highlight w:val="none"/>
        </w:rPr>
        <w:t xml:space="preserve">                           日  期：</w:t>
      </w:r>
      <w:r>
        <w:rPr>
          <w:rFonts w:hint="eastAsia" w:ascii="宋体" w:hAnsi="宋体" w:cs="宋体"/>
          <w:color w:val="auto"/>
          <w:kern w:val="0"/>
          <w:sz w:val="24"/>
          <w:highlight w:val="none"/>
          <w:u w:val="single"/>
        </w:rPr>
        <w:t xml:space="preserve">      年      月       日 </w:t>
      </w:r>
    </w:p>
    <w:p w14:paraId="4D3C8590">
      <w:pPr>
        <w:spacing w:line="480" w:lineRule="exact"/>
        <w:ind w:right="-340" w:rightChars="-162"/>
        <w:jc w:val="right"/>
        <w:textAlignment w:val="center"/>
        <w:rPr>
          <w:rFonts w:ascii="宋体" w:hAnsi="宋体" w:cs="宋体"/>
          <w:color w:val="auto"/>
          <w:sz w:val="24"/>
          <w:szCs w:val="21"/>
          <w:highlight w:val="none"/>
        </w:rPr>
      </w:pPr>
    </w:p>
    <w:p w14:paraId="495B4AE9">
      <w:pPr>
        <w:spacing w:line="480" w:lineRule="auto"/>
        <w:ind w:left="3740" w:leftChars="0" w:right="-340" w:rightChars="-162"/>
        <w:outlineLvl w:val="0"/>
        <w:rPr>
          <w:rFonts w:ascii="宋体" w:hAnsi="宋体" w:cs="宋体"/>
          <w:b/>
          <w:bCs/>
          <w:color w:val="auto"/>
          <w:sz w:val="32"/>
          <w:szCs w:val="32"/>
          <w:highlight w:val="none"/>
        </w:rPr>
      </w:pPr>
      <w:r>
        <w:rPr>
          <w:rFonts w:hint="eastAsia" w:ascii="宋体" w:hAnsi="宋体" w:cs="宋体"/>
          <w:color w:val="auto"/>
          <w:sz w:val="24"/>
          <w:szCs w:val="21"/>
          <w:highlight w:val="none"/>
        </w:rPr>
        <w:br w:type="page"/>
      </w:r>
      <w:bookmarkStart w:id="133" w:name="_Toc16694"/>
      <w:r>
        <w:rPr>
          <w:rFonts w:hint="eastAsia" w:ascii="宋体" w:hAnsi="宋体" w:cs="宋体"/>
          <w:b/>
          <w:bCs/>
          <w:color w:val="auto"/>
          <w:sz w:val="32"/>
          <w:szCs w:val="32"/>
          <w:highlight w:val="none"/>
        </w:rPr>
        <w:t>三、授权委托书</w:t>
      </w:r>
      <w:bookmarkEnd w:id="133"/>
    </w:p>
    <w:p w14:paraId="7DFEC6DC">
      <w:pPr>
        <w:spacing w:line="520" w:lineRule="exact"/>
        <w:ind w:right="-334" w:rightChars="-159" w:firstLine="480" w:firstLineChars="200"/>
        <w:jc w:val="left"/>
        <w:textAlignment w:val="center"/>
        <w:rPr>
          <w:rFonts w:ascii="宋体" w:hAnsi="宋体" w:cs="宋体"/>
          <w:color w:val="auto"/>
          <w:sz w:val="24"/>
          <w:szCs w:val="21"/>
          <w:highlight w:val="none"/>
        </w:rPr>
      </w:pPr>
      <w:r>
        <w:rPr>
          <w:rFonts w:hint="eastAsia" w:ascii="宋体" w:hAnsi="宋体" w:cs="宋体"/>
          <w:color w:val="auto"/>
          <w:sz w:val="24"/>
          <w:szCs w:val="21"/>
          <w:highlight w:val="none"/>
        </w:rPr>
        <w:t>本人（姓名）系（投标供应商名称）的法定代表人，现委托（姓名）为我方代理人。代理人根据授权，以我方名义签署、澄清、说明、补正、递交、撤回、修改（项目名称、标段）项目投标文件、签订合同和处理有关事宜，其法律后果由我方承担。</w:t>
      </w:r>
    </w:p>
    <w:p w14:paraId="199C7368">
      <w:pPr>
        <w:spacing w:beforeLines="100" w:afterLines="100" w:line="480" w:lineRule="exact"/>
        <w:ind w:right="-340" w:rightChars="-162" w:firstLine="480" w:firstLineChars="200"/>
        <w:jc w:val="left"/>
        <w:textAlignment w:val="center"/>
        <w:rPr>
          <w:rFonts w:ascii="宋体" w:hAnsi="宋体" w:cs="宋体"/>
          <w:color w:val="auto"/>
          <w:sz w:val="24"/>
          <w:szCs w:val="21"/>
          <w:highlight w:val="none"/>
        </w:rPr>
      </w:pPr>
      <w:r>
        <w:rPr>
          <w:rFonts w:hint="eastAsia" w:ascii="宋体" w:hAnsi="宋体" w:cs="宋体"/>
          <w:color w:val="auto"/>
          <w:sz w:val="24"/>
          <w:szCs w:val="21"/>
          <w:highlight w:val="none"/>
        </w:rPr>
        <w:t>委托期限：，代理人无转委托权。</w:t>
      </w:r>
    </w:p>
    <w:p w14:paraId="2ABDB39D">
      <w:pPr>
        <w:spacing w:afterLines="100" w:line="480" w:lineRule="exact"/>
        <w:ind w:right="-340" w:rightChars="-162" w:firstLine="480" w:firstLineChars="200"/>
        <w:jc w:val="left"/>
        <w:textAlignment w:val="center"/>
        <w:rPr>
          <w:rFonts w:ascii="宋体" w:hAnsi="宋体" w:cs="宋体"/>
          <w:color w:val="auto"/>
          <w:sz w:val="24"/>
          <w:szCs w:val="21"/>
          <w:highlight w:val="none"/>
        </w:rPr>
      </w:pPr>
      <w:r>
        <w:rPr>
          <w:rFonts w:hint="eastAsia" w:ascii="宋体" w:hAnsi="宋体"/>
          <w:color w:val="auto"/>
          <w:kern w:val="1"/>
          <w:sz w:val="24"/>
          <w:szCs w:val="24"/>
          <w:highlight w:val="none"/>
        </w:rPr>
        <w:t>附：法定代表人和委托代理人身份证扫描件</w:t>
      </w:r>
      <w:r>
        <w:rPr>
          <w:rFonts w:hint="eastAsia" w:ascii="宋体" w:hAnsi="宋体" w:cs="宋体"/>
          <w:color w:val="auto"/>
          <w:sz w:val="24"/>
          <w:szCs w:val="21"/>
          <w:highlight w:val="none"/>
        </w:rPr>
        <w:t>，加盖公章</w:t>
      </w:r>
    </w:p>
    <w:p w14:paraId="7950BCA4">
      <w:pPr>
        <w:spacing w:line="480" w:lineRule="exact"/>
        <w:ind w:right="-340" w:rightChars="-162"/>
        <w:textAlignment w:val="center"/>
        <w:rPr>
          <w:rFonts w:ascii="宋体" w:hAnsi="宋体" w:cs="宋体"/>
          <w:color w:val="auto"/>
          <w:sz w:val="24"/>
          <w:highlight w:val="none"/>
        </w:rPr>
      </w:pPr>
    </w:p>
    <w:p w14:paraId="34276FAD">
      <w:pPr>
        <w:spacing w:line="480" w:lineRule="exact"/>
        <w:ind w:right="-340" w:rightChars="-162"/>
        <w:textAlignment w:val="center"/>
        <w:rPr>
          <w:rFonts w:ascii="宋体" w:hAnsi="宋体" w:cs="宋体"/>
          <w:color w:val="auto"/>
          <w:sz w:val="24"/>
          <w:highlight w:val="none"/>
        </w:rPr>
      </w:pPr>
      <w:r>
        <w:rPr>
          <w:rFonts w:hint="eastAsia" w:ascii="宋体" w:hAnsi="宋体" w:cs="宋体"/>
          <w:color w:val="auto"/>
          <w:kern w:val="0"/>
          <w:sz w:val="24"/>
          <w:szCs w:val="24"/>
          <w:highlight w:val="none"/>
        </w:rPr>
        <w:t>投标供应商</w:t>
      </w:r>
      <w:r>
        <w:rPr>
          <w:rFonts w:hint="eastAsia" w:ascii="宋体" w:hAnsi="宋体" w:cs="宋体"/>
          <w:color w:val="auto"/>
          <w:sz w:val="24"/>
          <w:highlight w:val="none"/>
        </w:rPr>
        <w:t>：（电子签章）</w:t>
      </w:r>
    </w:p>
    <w:p w14:paraId="048C532B">
      <w:pPr>
        <w:spacing w:line="480" w:lineRule="exact"/>
        <w:ind w:right="-340" w:rightChars="-162"/>
        <w:textAlignment w:val="center"/>
        <w:rPr>
          <w:rFonts w:ascii="宋体" w:hAnsi="宋体" w:cs="宋体"/>
          <w:color w:val="auto"/>
          <w:sz w:val="24"/>
          <w:highlight w:val="none"/>
        </w:rPr>
      </w:pPr>
    </w:p>
    <w:p w14:paraId="158E6DAC">
      <w:pPr>
        <w:spacing w:line="480" w:lineRule="exact"/>
        <w:ind w:right="-340" w:rightChars="-162"/>
        <w:textAlignment w:val="center"/>
        <w:rPr>
          <w:rFonts w:ascii="宋体" w:hAnsi="宋体" w:cs="宋体"/>
          <w:color w:val="auto"/>
          <w:sz w:val="24"/>
          <w:highlight w:val="none"/>
        </w:rPr>
      </w:pPr>
      <w:r>
        <w:rPr>
          <w:rFonts w:hint="eastAsia" w:ascii="宋体" w:hAnsi="宋体" w:cs="宋体"/>
          <w:color w:val="auto"/>
          <w:sz w:val="24"/>
          <w:highlight w:val="none"/>
        </w:rPr>
        <w:t>法定代表人：（电子签章）</w:t>
      </w:r>
    </w:p>
    <w:p w14:paraId="1FA02A56">
      <w:pPr>
        <w:spacing w:line="480" w:lineRule="exact"/>
        <w:ind w:right="-340" w:rightChars="-162"/>
        <w:textAlignment w:val="center"/>
        <w:rPr>
          <w:rFonts w:ascii="宋体" w:hAnsi="宋体" w:cs="宋体"/>
          <w:color w:val="auto"/>
          <w:sz w:val="24"/>
          <w:highlight w:val="none"/>
        </w:rPr>
      </w:pPr>
    </w:p>
    <w:p w14:paraId="66F9BF08">
      <w:pPr>
        <w:spacing w:line="480" w:lineRule="exact"/>
        <w:ind w:right="-340" w:rightChars="-162"/>
        <w:textAlignment w:val="center"/>
        <w:rPr>
          <w:rFonts w:ascii="宋体" w:hAnsi="宋体" w:cs="宋体"/>
          <w:color w:val="auto"/>
          <w:sz w:val="24"/>
          <w:highlight w:val="none"/>
        </w:rPr>
      </w:pPr>
      <w:r>
        <w:rPr>
          <w:rFonts w:hint="eastAsia" w:ascii="宋体" w:hAnsi="宋体" w:cs="宋体"/>
          <w:color w:val="auto"/>
          <w:sz w:val="24"/>
          <w:highlight w:val="none"/>
        </w:rPr>
        <w:t>委托代理人：（签字）</w:t>
      </w:r>
    </w:p>
    <w:p w14:paraId="020E9AB8">
      <w:pPr>
        <w:spacing w:line="480" w:lineRule="exact"/>
        <w:ind w:right="-340" w:rightChars="-162"/>
        <w:textAlignment w:val="center"/>
        <w:rPr>
          <w:rFonts w:ascii="宋体" w:hAnsi="宋体" w:cs="宋体"/>
          <w:color w:val="auto"/>
          <w:sz w:val="24"/>
          <w:highlight w:val="none"/>
        </w:rPr>
      </w:pPr>
    </w:p>
    <w:p w14:paraId="378A23F6">
      <w:pPr>
        <w:spacing w:line="480" w:lineRule="exact"/>
        <w:ind w:right="-340" w:rightChars="-162"/>
        <w:textAlignment w:val="center"/>
        <w:rPr>
          <w:rFonts w:ascii="宋体" w:hAnsi="宋体" w:cs="宋体"/>
          <w:color w:val="auto"/>
          <w:sz w:val="24"/>
          <w:highlight w:val="none"/>
        </w:rPr>
      </w:pPr>
      <w:r>
        <w:rPr>
          <w:rFonts w:hint="eastAsia" w:ascii="宋体" w:hAnsi="宋体" w:cs="宋体"/>
          <w:color w:val="auto"/>
          <w:sz w:val="24"/>
          <w:highlight w:val="none"/>
        </w:rPr>
        <w:t>年月日</w:t>
      </w:r>
    </w:p>
    <w:p w14:paraId="14EE5DCD">
      <w:pPr>
        <w:spacing w:beforeLines="100" w:afterLines="50" w:line="480" w:lineRule="exact"/>
        <w:ind w:right="-340" w:rightChars="-162"/>
        <w:textAlignment w:val="center"/>
        <w:rPr>
          <w:rFonts w:ascii="宋体" w:hAnsi="宋体" w:cs="宋体"/>
          <w:b/>
          <w:bCs/>
          <w:color w:val="auto"/>
          <w:sz w:val="24"/>
          <w:szCs w:val="21"/>
          <w:highlight w:val="none"/>
        </w:rPr>
      </w:pPr>
    </w:p>
    <w:p w14:paraId="5AE88F49">
      <w:pPr>
        <w:spacing w:beforeLines="100" w:afterLines="50" w:line="480" w:lineRule="exact"/>
        <w:ind w:right="-340" w:rightChars="-162"/>
        <w:textAlignment w:val="center"/>
        <w:rPr>
          <w:rFonts w:ascii="宋体" w:hAnsi="宋体" w:cs="宋体"/>
          <w:b/>
          <w:bCs/>
          <w:color w:val="auto"/>
          <w:sz w:val="24"/>
          <w:szCs w:val="21"/>
          <w:highlight w:val="none"/>
        </w:rPr>
      </w:pPr>
      <w:r>
        <w:rPr>
          <w:rFonts w:hint="eastAsia" w:ascii="宋体" w:hAnsi="宋体" w:cs="宋体"/>
          <w:b/>
          <w:bCs/>
          <w:color w:val="auto"/>
          <w:sz w:val="24"/>
          <w:szCs w:val="21"/>
          <w:highlight w:val="none"/>
        </w:rPr>
        <w:t>注：因投标文件中授权委托书授权代理人无法手写签字，可以以印刷体代替（印刷体为电脑打出的字体）。委托代理人签字为手写签字的，以扫描件的形式上传。</w:t>
      </w:r>
    </w:p>
    <w:p w14:paraId="1C2B5073">
      <w:pPr>
        <w:spacing w:beforeLines="100" w:afterLines="50" w:line="480" w:lineRule="exact"/>
        <w:ind w:right="-340" w:rightChars="-162"/>
        <w:textAlignment w:val="center"/>
        <w:rPr>
          <w:rFonts w:ascii="宋体" w:hAnsi="宋体" w:cs="宋体"/>
          <w:b/>
          <w:bCs/>
          <w:color w:val="auto"/>
          <w:sz w:val="24"/>
          <w:szCs w:val="21"/>
          <w:highlight w:val="none"/>
        </w:rPr>
      </w:pPr>
    </w:p>
    <w:p w14:paraId="4687DB34">
      <w:pPr>
        <w:jc w:val="center"/>
        <w:outlineLvl w:val="0"/>
        <w:rPr>
          <w:rFonts w:ascii="宋体" w:hAnsi="宋体" w:cs="宋体"/>
          <w:bCs/>
          <w:color w:val="auto"/>
          <w:sz w:val="32"/>
          <w:szCs w:val="32"/>
          <w:highlight w:val="none"/>
        </w:rPr>
      </w:pPr>
      <w:bookmarkStart w:id="134" w:name="_Toc466566720"/>
      <w:bookmarkStart w:id="135" w:name="_Toc466566810"/>
      <w:r>
        <w:rPr>
          <w:rFonts w:hint="eastAsia" w:ascii="宋体" w:hAnsi="宋体" w:cs="宋体"/>
          <w:bCs/>
          <w:color w:val="auto"/>
          <w:sz w:val="24"/>
          <w:szCs w:val="21"/>
          <w:highlight w:val="none"/>
        </w:rPr>
        <w:br w:type="page"/>
      </w:r>
      <w:bookmarkStart w:id="136" w:name="_Toc7250"/>
      <w:r>
        <w:rPr>
          <w:rFonts w:hint="eastAsia" w:ascii="宋体" w:hAnsi="宋体" w:cs="宋体"/>
          <w:b/>
          <w:color w:val="auto"/>
          <w:sz w:val="32"/>
          <w:szCs w:val="32"/>
          <w:highlight w:val="none"/>
        </w:rPr>
        <w:t>四、</w:t>
      </w:r>
      <w:bookmarkEnd w:id="134"/>
      <w:bookmarkEnd w:id="135"/>
      <w:r>
        <w:rPr>
          <w:rFonts w:hint="eastAsia" w:ascii="宋体" w:hAnsi="宋体" w:cs="宋体"/>
          <w:b/>
          <w:color w:val="auto"/>
          <w:sz w:val="32"/>
          <w:szCs w:val="32"/>
          <w:highlight w:val="none"/>
        </w:rPr>
        <w:t>投标承诺函</w:t>
      </w:r>
      <w:bookmarkEnd w:id="136"/>
    </w:p>
    <w:p w14:paraId="07E2E912">
      <w:pPr>
        <w:keepNext w:val="0"/>
        <w:keepLines w:val="0"/>
        <w:pageBreakBefore w:val="0"/>
        <w:widowControl w:val="0"/>
        <w:kinsoku/>
        <w:wordWrap w:val="0"/>
        <w:overflowPunct/>
        <w:topLinePunct/>
        <w:autoSpaceDE/>
        <w:autoSpaceDN/>
        <w:bidi w:val="0"/>
        <w:adjustRightInd/>
        <w:snapToGrid/>
        <w:spacing w:line="360" w:lineRule="auto"/>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致（采购人）：</w:t>
      </w:r>
    </w:p>
    <w:p w14:paraId="1A89F9E6">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我公司作为本次采购</w:t>
      </w:r>
      <w:r>
        <w:rPr>
          <w:rFonts w:hint="eastAsia" w:ascii="宋体" w:hAnsi="宋体" w:cs="宋体"/>
          <w:color w:val="auto"/>
          <w:sz w:val="24"/>
          <w:szCs w:val="22"/>
          <w:highlight w:val="none"/>
          <w:u w:val="single"/>
          <w:lang w:val="en-US" w:eastAsia="zh-CN"/>
        </w:rPr>
        <w:t xml:space="preserve">           </w:t>
      </w:r>
      <w:r>
        <w:rPr>
          <w:rFonts w:hint="eastAsia" w:ascii="宋体" w:hAnsi="宋体" w:eastAsia="宋体" w:cs="宋体"/>
          <w:color w:val="auto"/>
          <w:sz w:val="24"/>
          <w:szCs w:val="22"/>
          <w:highlight w:val="none"/>
        </w:rPr>
        <w:t>项目的投标人，根据招标文件要求，现郑重承诺如下：</w:t>
      </w:r>
    </w:p>
    <w:p w14:paraId="33499D02">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一、具备《中华人民共和国政府采购法》第二十二条第一款和本项目规定的条件：</w:t>
      </w:r>
    </w:p>
    <w:p w14:paraId="76EFA843">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（一）具有独立承担民事责任的能力；</w:t>
      </w:r>
    </w:p>
    <w:p w14:paraId="6CB2A26A">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（二）具有良好的商业信誉和健全的财务会计制度；</w:t>
      </w:r>
    </w:p>
    <w:p w14:paraId="43978C61">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（三）具有履行合同所必需的设备和专业技术能力；</w:t>
      </w:r>
    </w:p>
    <w:p w14:paraId="5E458035">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（四）有依法缴纳税收和社会保障资金的良好记录；</w:t>
      </w:r>
    </w:p>
    <w:p w14:paraId="5757364F">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（五）参加政府采购活动前三年内，在经营活动中没有重大违法记录；</w:t>
      </w:r>
    </w:p>
    <w:p w14:paraId="3D02E1BA">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（六）法律、行政法规规定的其他条件；</w:t>
      </w:r>
    </w:p>
    <w:p w14:paraId="41731346">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（七）根据采购项目提出的特殊条件。</w:t>
      </w:r>
    </w:p>
    <w:p w14:paraId="348D0440">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0E2CE419">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三、参加本次招标采购活动，不存在与单位负责人为同一人或者存在直接控股、管理关系的其他投标人参与同一合同项下的政府采购活动的行为。</w:t>
      </w:r>
    </w:p>
    <w:p w14:paraId="165B877B">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四、参加本次招标采购活动，不存在为采购项目提供整体设计、规范编制或者项目管理、监理、检测等服务的行为。</w:t>
      </w:r>
    </w:p>
    <w:p w14:paraId="77BDEA59">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五、参加本次招标采购活动，不存在和其他投标人在同一合同项下的采购项目中，同时委托同一个自然人、同一家庭的人员、同一单位的人员作为代理人的行为。</w:t>
      </w:r>
    </w:p>
    <w:p w14:paraId="159E3D6D">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六、投标人参加本次政府采购活动要求在近三年内投标人和其法定代表人没有行贿犯罪行为。</w:t>
      </w:r>
    </w:p>
    <w:p w14:paraId="02D375F4">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七、参加本次招标采购活动，不存在联合体投标。</w:t>
      </w:r>
    </w:p>
    <w:p w14:paraId="78BA70E9">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八、投标文件中提供的能够给予我公司带来优惠、好处的任何材料资料和技术、服务、商务等响应承诺情况都是真实的、有效的、合法的。</w:t>
      </w:r>
    </w:p>
    <w:p w14:paraId="6F3C17BC">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九、投标人认为需要承诺的其他事项：</w:t>
      </w:r>
    </w:p>
    <w:p w14:paraId="58B18C8C">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1、；2、；3、。</w:t>
      </w:r>
    </w:p>
    <w:p w14:paraId="482B33E3">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十、存在以下行为之一的愿意接受相关部门的处理：</w:t>
      </w:r>
    </w:p>
    <w:p w14:paraId="289F1F69">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（一）投标有效期内撤销投标文件的；</w:t>
      </w:r>
    </w:p>
    <w:p w14:paraId="1B9334C5">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（二）在采购人确定中标人以前放弃中标候选资格的；</w:t>
      </w:r>
    </w:p>
    <w:p w14:paraId="469D8529">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（三）由于中标人的原因未能按照招标文件的规定与采购人签订合同；</w:t>
      </w:r>
    </w:p>
    <w:p w14:paraId="7BEAC618">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（四）在投标文件中提供虚假材料谋取中标；</w:t>
      </w:r>
    </w:p>
    <w:p w14:paraId="03657069">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（五）与采购人、其他投标人或者采购代理机构恶意串通的；</w:t>
      </w:r>
    </w:p>
    <w:p w14:paraId="1DD98FC8">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（六）投标有效期内，投标人在政府采购活动中有违法、违规、违纪行为。</w:t>
      </w:r>
    </w:p>
    <w:p w14:paraId="0F5FB0CB">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由此产生的一切法律后果和责任由我公司承担。我公司声明放弃对此提出任何异议和追索的权利。</w:t>
      </w:r>
    </w:p>
    <w:p w14:paraId="4EBE5C4B">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本公司对上述承诺的内容事项真实性负责。如经查实上述承诺的内容事项存在虚假，我公司愿意接受以提供虚假材料谋取中标追究法律责任。</w:t>
      </w:r>
    </w:p>
    <w:p w14:paraId="6684ABBE">
      <w:pPr>
        <w:widowControl/>
        <w:spacing w:line="360" w:lineRule="auto"/>
        <w:ind w:firstLine="564" w:firstLineChars="235"/>
        <w:jc w:val="left"/>
        <w:rPr>
          <w:rFonts w:ascii="宋体" w:hAnsi="宋体" w:cs="宋体"/>
          <w:bCs/>
          <w:color w:val="auto"/>
          <w:kern w:val="0"/>
          <w:sz w:val="24"/>
          <w:szCs w:val="24"/>
          <w:highlight w:val="none"/>
        </w:rPr>
      </w:pPr>
    </w:p>
    <w:p w14:paraId="027B6758">
      <w:pPr>
        <w:spacing w:line="400" w:lineRule="exact"/>
        <w:ind w:firstLine="3118" w:firstLineChars="1485"/>
        <w:rPr>
          <w:color w:val="auto"/>
          <w:szCs w:val="21"/>
          <w:highlight w:val="none"/>
        </w:rPr>
      </w:pPr>
    </w:p>
    <w:p w14:paraId="1B157A8B">
      <w:pPr>
        <w:spacing w:line="400" w:lineRule="exact"/>
        <w:ind w:firstLine="3118" w:firstLineChars="1485"/>
        <w:rPr>
          <w:color w:val="auto"/>
          <w:szCs w:val="21"/>
          <w:highlight w:val="none"/>
        </w:rPr>
      </w:pPr>
    </w:p>
    <w:p w14:paraId="3DCC4277">
      <w:pPr>
        <w:spacing w:line="400" w:lineRule="exact"/>
        <w:ind w:firstLine="3118" w:firstLineChars="1485"/>
        <w:rPr>
          <w:color w:val="auto"/>
          <w:szCs w:val="21"/>
          <w:highlight w:val="none"/>
        </w:rPr>
      </w:pPr>
    </w:p>
    <w:p w14:paraId="2F3BB70E">
      <w:pPr>
        <w:pStyle w:val="9"/>
        <w:spacing w:line="360" w:lineRule="exact"/>
        <w:ind w:left="0" w:leftChars="0" w:right="-340" w:rightChars="-162" w:firstLine="0" w:firstLineChars="0"/>
        <w:rPr>
          <w:rFonts w:ascii="宋体" w:hAnsi="宋体" w:cs="宋体"/>
          <w:color w:val="auto"/>
          <w:sz w:val="24"/>
          <w:highlight w:val="none"/>
          <w:u w:val="single"/>
        </w:rPr>
      </w:pPr>
      <w:r>
        <w:rPr>
          <w:rFonts w:hint="eastAsia" w:ascii="宋体" w:hAnsi="宋体" w:cs="宋体"/>
          <w:color w:val="auto"/>
          <w:kern w:val="0"/>
          <w:sz w:val="24"/>
          <w:highlight w:val="none"/>
        </w:rPr>
        <w:t>投标供应商</w:t>
      </w:r>
      <w:r>
        <w:rPr>
          <w:rFonts w:hint="eastAsia" w:ascii="宋体" w:hAnsi="宋体" w:cs="宋体"/>
          <w:color w:val="auto"/>
          <w:sz w:val="24"/>
          <w:highlight w:val="none"/>
        </w:rPr>
        <w:t>：（电子签章）</w:t>
      </w:r>
    </w:p>
    <w:p w14:paraId="580341A1">
      <w:pPr>
        <w:pStyle w:val="9"/>
        <w:spacing w:line="360" w:lineRule="exact"/>
        <w:ind w:left="1" w:leftChars="0" w:right="-340" w:rightChars="-162" w:firstLine="2880" w:firstLineChars="1200"/>
        <w:rPr>
          <w:rFonts w:ascii="宋体" w:hAnsi="宋体" w:cs="宋体"/>
          <w:color w:val="auto"/>
          <w:sz w:val="24"/>
          <w:highlight w:val="none"/>
          <w:u w:val="single"/>
        </w:rPr>
      </w:pPr>
    </w:p>
    <w:p w14:paraId="4D216C5B">
      <w:pPr>
        <w:spacing w:line="460" w:lineRule="exact"/>
        <w:ind w:right="-57" w:rightChars="-27"/>
        <w:jc w:val="left"/>
        <w:rPr>
          <w:rFonts w:ascii="宋体" w:hAnsi="宋体" w:cs="宋体"/>
          <w:color w:val="auto"/>
          <w:sz w:val="24"/>
          <w:highlight w:val="none"/>
          <w:lang w:bidi="zh-CN"/>
        </w:rPr>
      </w:pPr>
      <w:r>
        <w:rPr>
          <w:rFonts w:hint="eastAsia" w:ascii="宋体" w:hAnsi="宋体" w:cs="宋体"/>
          <w:color w:val="auto"/>
          <w:sz w:val="24"/>
          <w:highlight w:val="none"/>
          <w:lang w:bidi="zh-CN"/>
        </w:rPr>
        <w:t>法定代表人或其委托代理人：（</w:t>
      </w:r>
      <w:r>
        <w:rPr>
          <w:rFonts w:hint="eastAsia" w:ascii="宋体" w:hAnsi="宋体" w:cs="宋体"/>
          <w:color w:val="auto"/>
          <w:sz w:val="24"/>
          <w:highlight w:val="none"/>
        </w:rPr>
        <w:t>电子签章或签字</w:t>
      </w:r>
      <w:r>
        <w:rPr>
          <w:rFonts w:hint="eastAsia" w:ascii="宋体" w:hAnsi="宋体" w:cs="宋体"/>
          <w:color w:val="auto"/>
          <w:sz w:val="24"/>
          <w:highlight w:val="none"/>
          <w:lang w:bidi="zh-CN"/>
        </w:rPr>
        <w:t>）</w:t>
      </w:r>
    </w:p>
    <w:p w14:paraId="15FD0C1D">
      <w:pPr>
        <w:pStyle w:val="9"/>
        <w:spacing w:line="360" w:lineRule="exact"/>
        <w:ind w:left="1" w:leftChars="0" w:right="-340" w:rightChars="-162" w:firstLine="480" w:firstLineChars="200"/>
        <w:rPr>
          <w:rFonts w:ascii="宋体" w:hAnsi="宋体" w:cs="宋体"/>
          <w:color w:val="auto"/>
          <w:sz w:val="24"/>
          <w:highlight w:val="none"/>
        </w:rPr>
      </w:pPr>
    </w:p>
    <w:p w14:paraId="48C7FF9E">
      <w:pPr>
        <w:pStyle w:val="9"/>
        <w:spacing w:line="360" w:lineRule="exact"/>
        <w:ind w:left="0" w:leftChars="0" w:right="-340" w:rightChars="-162" w:firstLine="0" w:firstLineChars="0"/>
        <w:rPr>
          <w:rFonts w:ascii="宋体" w:hAnsi="宋体" w:cs="宋体"/>
          <w:b/>
          <w:bCs/>
          <w:color w:val="auto"/>
          <w:sz w:val="24"/>
          <w:highlight w:val="none"/>
        </w:rPr>
      </w:pPr>
      <w:r>
        <w:rPr>
          <w:rFonts w:hint="eastAsia" w:ascii="宋体" w:hAnsi="宋体" w:cs="宋体"/>
          <w:color w:val="auto"/>
          <w:sz w:val="24"/>
          <w:highlight w:val="none"/>
        </w:rPr>
        <w:t>日    期：年月日</w:t>
      </w:r>
    </w:p>
    <w:p w14:paraId="318A7CB8">
      <w:pPr>
        <w:widowControl/>
        <w:adjustRightInd w:val="0"/>
        <w:snapToGrid w:val="0"/>
        <w:spacing w:after="200" w:line="360" w:lineRule="auto"/>
        <w:ind w:firstLine="6048" w:firstLineChars="2008"/>
        <w:rPr>
          <w:rFonts w:ascii="宋体" w:hAnsi="宋体" w:cs="宋体"/>
          <w:b/>
          <w:bCs/>
          <w:color w:val="auto"/>
          <w:kern w:val="0"/>
          <w:sz w:val="30"/>
          <w:szCs w:val="30"/>
          <w:highlight w:val="none"/>
        </w:rPr>
      </w:pPr>
    </w:p>
    <w:p w14:paraId="63B98540">
      <w:pPr>
        <w:pStyle w:val="6"/>
        <w:ind w:left="63" w:right="-340" w:rightChars="-162"/>
        <w:rPr>
          <w:rFonts w:ascii="宋体" w:hAnsi="宋体" w:cs="宋体"/>
          <w:color w:val="auto"/>
          <w:highlight w:val="none"/>
        </w:rPr>
      </w:pPr>
    </w:p>
    <w:p w14:paraId="37696213">
      <w:pPr>
        <w:spacing w:line="360" w:lineRule="auto"/>
        <w:ind w:right="-340" w:rightChars="-162"/>
        <w:jc w:val="center"/>
        <w:outlineLvl w:val="0"/>
        <w:rPr>
          <w:rFonts w:ascii="宋体" w:hAnsi="宋体" w:cs="宋体"/>
          <w:b/>
          <w:bCs/>
          <w:color w:val="auto"/>
          <w:sz w:val="32"/>
          <w:szCs w:val="32"/>
          <w:highlight w:val="none"/>
        </w:rPr>
      </w:pPr>
      <w:r>
        <w:rPr>
          <w:rFonts w:hint="eastAsia" w:ascii="宋体" w:hAnsi="宋体" w:cs="宋体"/>
          <w:color w:val="auto"/>
          <w:sz w:val="24"/>
          <w:highlight w:val="none"/>
        </w:rPr>
        <w:br w:type="page"/>
      </w:r>
      <w:bookmarkStart w:id="137" w:name="_Toc22499"/>
      <w:r>
        <w:rPr>
          <w:rFonts w:hint="eastAsia" w:ascii="宋体" w:hAnsi="宋体" w:cs="宋体"/>
          <w:b/>
          <w:bCs/>
          <w:color w:val="auto"/>
          <w:sz w:val="32"/>
          <w:szCs w:val="32"/>
          <w:highlight w:val="none"/>
        </w:rPr>
        <w:t>五、报价明细表</w:t>
      </w:r>
      <w:bookmarkEnd w:id="137"/>
    </w:p>
    <w:tbl>
      <w:tblPr>
        <w:tblStyle w:val="16"/>
        <w:tblW w:w="10256" w:type="dxa"/>
        <w:jc w:val="center"/>
        <w:tblLayout w:type="fixed"/>
        <w:tblCellMar>
          <w:top w:w="0" w:type="dxa"/>
          <w:left w:w="108" w:type="dxa"/>
          <w:bottom w:w="0" w:type="dxa"/>
          <w:right w:w="108" w:type="dxa"/>
        </w:tblCellMar>
      </w:tblPr>
      <w:tblGrid>
        <w:gridCol w:w="475"/>
        <w:gridCol w:w="770"/>
        <w:gridCol w:w="709"/>
        <w:gridCol w:w="4838"/>
        <w:gridCol w:w="548"/>
        <w:gridCol w:w="617"/>
        <w:gridCol w:w="801"/>
        <w:gridCol w:w="992"/>
        <w:gridCol w:w="506"/>
      </w:tblGrid>
      <w:tr w14:paraId="47684A85">
        <w:tblPrEx>
          <w:tblCellMar>
            <w:top w:w="0" w:type="dxa"/>
            <w:left w:w="108" w:type="dxa"/>
            <w:bottom w:w="0" w:type="dxa"/>
            <w:right w:w="108" w:type="dxa"/>
          </w:tblCellMar>
        </w:tblPrEx>
        <w:trPr>
          <w:trHeight w:val="883" w:hRule="atLeast"/>
          <w:jc w:val="center"/>
        </w:trPr>
        <w:tc>
          <w:tcPr>
            <w:tcW w:w="475" w:type="dxa"/>
            <w:tcBorders>
              <w:top w:val="single" w:color="000000" w:sz="8" w:space="0"/>
              <w:left w:val="single" w:color="000000" w:sz="8" w:space="0"/>
              <w:bottom w:val="single" w:color="000000" w:sz="4" w:space="0"/>
              <w:right w:val="single" w:color="000000" w:sz="4" w:space="0"/>
            </w:tcBorders>
            <w:noWrap/>
            <w:vAlign w:val="center"/>
          </w:tcPr>
          <w:p w14:paraId="1DEE54C5">
            <w:pPr>
              <w:pStyle w:val="14"/>
              <w:snapToGrid w:val="0"/>
              <w:spacing w:after="0" w:line="240" w:lineRule="auto"/>
              <w:ind w:left="0" w:leftChars="0" w:right="0" w:rightChars="0" w:firstLine="0" w:firstLineChars="0"/>
              <w:rPr>
                <w:rFonts w:ascii="宋体" w:hAnsi="宋体"/>
                <w:b/>
                <w:bCs/>
                <w:color w:val="auto"/>
                <w:sz w:val="22"/>
                <w:szCs w:val="24"/>
                <w:highlight w:val="none"/>
              </w:rPr>
            </w:pPr>
            <w:r>
              <w:rPr>
                <w:rFonts w:hint="eastAsia" w:ascii="宋体" w:hAnsi="宋体"/>
                <w:b/>
                <w:bCs/>
                <w:color w:val="auto"/>
                <w:sz w:val="22"/>
                <w:szCs w:val="24"/>
                <w:highlight w:val="none"/>
              </w:rPr>
              <w:t>序号</w:t>
            </w:r>
          </w:p>
        </w:tc>
        <w:tc>
          <w:tcPr>
            <w:tcW w:w="770" w:type="dxa"/>
            <w:tcBorders>
              <w:top w:val="single" w:color="000000" w:sz="8" w:space="0"/>
              <w:left w:val="single" w:color="000000" w:sz="4" w:space="0"/>
              <w:bottom w:val="single" w:color="000000" w:sz="4" w:space="0"/>
              <w:right w:val="single" w:color="000000" w:sz="4" w:space="0"/>
            </w:tcBorders>
            <w:noWrap/>
            <w:vAlign w:val="center"/>
          </w:tcPr>
          <w:p w14:paraId="727BDEA6">
            <w:pPr>
              <w:pStyle w:val="14"/>
              <w:snapToGrid w:val="0"/>
              <w:spacing w:after="0" w:line="240" w:lineRule="auto"/>
              <w:ind w:left="0" w:leftChars="0" w:right="0" w:rightChars="0" w:firstLine="0" w:firstLineChars="0"/>
              <w:rPr>
                <w:rFonts w:ascii="宋体" w:hAnsi="宋体"/>
                <w:b/>
                <w:bCs/>
                <w:color w:val="auto"/>
                <w:sz w:val="22"/>
                <w:szCs w:val="24"/>
                <w:highlight w:val="none"/>
              </w:rPr>
            </w:pPr>
            <w:r>
              <w:rPr>
                <w:rFonts w:hint="eastAsia" w:ascii="宋体" w:hAnsi="宋体"/>
                <w:b/>
                <w:bCs/>
                <w:color w:val="auto"/>
                <w:sz w:val="22"/>
                <w:szCs w:val="24"/>
                <w:highlight w:val="none"/>
              </w:rPr>
              <w:t>设施设备名称</w:t>
            </w:r>
          </w:p>
        </w:tc>
        <w:tc>
          <w:tcPr>
            <w:tcW w:w="709" w:type="dxa"/>
            <w:tcBorders>
              <w:top w:val="single" w:color="000000" w:sz="8" w:space="0"/>
              <w:left w:val="single" w:color="000000" w:sz="4" w:space="0"/>
              <w:bottom w:val="single" w:color="000000" w:sz="4" w:space="0"/>
              <w:right w:val="single" w:color="000000" w:sz="4" w:space="0"/>
            </w:tcBorders>
            <w:vAlign w:val="center"/>
          </w:tcPr>
          <w:p w14:paraId="0B205C31">
            <w:pPr>
              <w:pStyle w:val="14"/>
              <w:snapToGrid w:val="0"/>
              <w:spacing w:after="0" w:line="240" w:lineRule="auto"/>
              <w:ind w:left="0" w:leftChars="0" w:right="0" w:rightChars="0" w:firstLine="0" w:firstLineChars="0"/>
              <w:rPr>
                <w:rFonts w:ascii="宋体" w:hAnsi="宋体"/>
                <w:b/>
                <w:bCs/>
                <w:color w:val="auto"/>
                <w:sz w:val="22"/>
                <w:szCs w:val="24"/>
                <w:highlight w:val="none"/>
              </w:rPr>
            </w:pPr>
            <w:r>
              <w:rPr>
                <w:rFonts w:hint="eastAsia" w:ascii="宋体" w:hAnsi="宋体"/>
                <w:b/>
                <w:bCs/>
                <w:color w:val="auto"/>
                <w:sz w:val="22"/>
                <w:szCs w:val="24"/>
                <w:highlight w:val="none"/>
                <w:lang w:val="en-US" w:eastAsia="zh-CN"/>
              </w:rPr>
              <w:t>品牌、</w:t>
            </w:r>
            <w:r>
              <w:rPr>
                <w:rFonts w:hint="eastAsia" w:ascii="宋体" w:hAnsi="宋体"/>
                <w:b/>
                <w:bCs/>
                <w:color w:val="auto"/>
                <w:sz w:val="22"/>
                <w:szCs w:val="24"/>
                <w:highlight w:val="none"/>
              </w:rPr>
              <w:t>规格型号</w:t>
            </w:r>
          </w:p>
        </w:tc>
        <w:tc>
          <w:tcPr>
            <w:tcW w:w="4838" w:type="dxa"/>
            <w:tcBorders>
              <w:top w:val="single" w:color="000000" w:sz="8" w:space="0"/>
              <w:left w:val="single" w:color="000000" w:sz="4" w:space="0"/>
              <w:bottom w:val="single" w:color="000000" w:sz="4" w:space="0"/>
              <w:right w:val="single" w:color="000000" w:sz="4" w:space="0"/>
            </w:tcBorders>
            <w:noWrap/>
            <w:vAlign w:val="center"/>
          </w:tcPr>
          <w:p w14:paraId="3F8F665D">
            <w:pPr>
              <w:pStyle w:val="14"/>
              <w:snapToGrid w:val="0"/>
              <w:spacing w:after="0" w:line="240" w:lineRule="auto"/>
              <w:ind w:left="0" w:leftChars="0" w:right="0" w:rightChars="0" w:firstLine="0" w:firstLineChars="0"/>
              <w:rPr>
                <w:rFonts w:ascii="宋体" w:hAnsi="宋体"/>
                <w:b/>
                <w:bCs/>
                <w:color w:val="auto"/>
                <w:sz w:val="22"/>
                <w:szCs w:val="24"/>
                <w:highlight w:val="none"/>
              </w:rPr>
            </w:pPr>
            <w:r>
              <w:rPr>
                <w:rFonts w:hint="eastAsia" w:ascii="宋体" w:hAnsi="宋体"/>
                <w:b/>
                <w:bCs/>
                <w:color w:val="auto"/>
                <w:sz w:val="22"/>
                <w:szCs w:val="24"/>
                <w:highlight w:val="none"/>
              </w:rPr>
              <w:t>技术参数</w:t>
            </w:r>
          </w:p>
        </w:tc>
        <w:tc>
          <w:tcPr>
            <w:tcW w:w="548" w:type="dxa"/>
            <w:tcBorders>
              <w:top w:val="single" w:color="000000" w:sz="8" w:space="0"/>
              <w:left w:val="single" w:color="000000" w:sz="4" w:space="0"/>
              <w:bottom w:val="single" w:color="000000" w:sz="4" w:space="0"/>
              <w:right w:val="single" w:color="000000" w:sz="4" w:space="0"/>
            </w:tcBorders>
            <w:noWrap/>
            <w:vAlign w:val="center"/>
          </w:tcPr>
          <w:p w14:paraId="518704A7">
            <w:pPr>
              <w:pStyle w:val="14"/>
              <w:snapToGrid w:val="0"/>
              <w:spacing w:after="0" w:line="240" w:lineRule="auto"/>
              <w:ind w:left="0" w:leftChars="0" w:right="0" w:rightChars="0" w:firstLine="0" w:firstLineChars="0"/>
              <w:rPr>
                <w:rFonts w:ascii="宋体" w:hAnsi="宋体"/>
                <w:b/>
                <w:bCs/>
                <w:color w:val="auto"/>
                <w:sz w:val="22"/>
                <w:szCs w:val="24"/>
                <w:highlight w:val="none"/>
              </w:rPr>
            </w:pPr>
            <w:r>
              <w:rPr>
                <w:rFonts w:hint="eastAsia" w:ascii="宋体" w:hAnsi="宋体"/>
                <w:b/>
                <w:bCs/>
                <w:color w:val="auto"/>
                <w:sz w:val="22"/>
                <w:szCs w:val="24"/>
                <w:highlight w:val="none"/>
              </w:rPr>
              <w:t>单位</w:t>
            </w:r>
          </w:p>
        </w:tc>
        <w:tc>
          <w:tcPr>
            <w:tcW w:w="617" w:type="dxa"/>
            <w:tcBorders>
              <w:top w:val="single" w:color="000000" w:sz="8" w:space="0"/>
              <w:left w:val="single" w:color="000000" w:sz="4" w:space="0"/>
              <w:bottom w:val="single" w:color="000000" w:sz="4" w:space="0"/>
              <w:right w:val="single" w:color="000000" w:sz="4" w:space="0"/>
            </w:tcBorders>
            <w:noWrap/>
            <w:vAlign w:val="center"/>
          </w:tcPr>
          <w:p w14:paraId="0B54B78A">
            <w:pPr>
              <w:pStyle w:val="14"/>
              <w:snapToGrid w:val="0"/>
              <w:spacing w:after="0" w:line="240" w:lineRule="auto"/>
              <w:ind w:left="0" w:leftChars="0" w:right="0" w:rightChars="0" w:firstLine="0" w:firstLineChars="0"/>
              <w:rPr>
                <w:rFonts w:ascii="宋体" w:hAnsi="宋体"/>
                <w:b/>
                <w:bCs/>
                <w:color w:val="auto"/>
                <w:sz w:val="22"/>
                <w:szCs w:val="24"/>
                <w:highlight w:val="none"/>
              </w:rPr>
            </w:pPr>
            <w:r>
              <w:rPr>
                <w:rFonts w:hint="eastAsia" w:ascii="宋体" w:hAnsi="宋体"/>
                <w:b/>
                <w:bCs/>
                <w:color w:val="auto"/>
                <w:sz w:val="22"/>
                <w:szCs w:val="24"/>
                <w:highlight w:val="none"/>
              </w:rPr>
              <w:t>数量</w:t>
            </w:r>
          </w:p>
        </w:tc>
        <w:tc>
          <w:tcPr>
            <w:tcW w:w="801" w:type="dxa"/>
            <w:tcBorders>
              <w:top w:val="single" w:color="000000" w:sz="8" w:space="0"/>
              <w:left w:val="single" w:color="000000" w:sz="4" w:space="0"/>
              <w:bottom w:val="single" w:color="000000" w:sz="4" w:space="0"/>
              <w:right w:val="single" w:color="000000" w:sz="4" w:space="0"/>
            </w:tcBorders>
            <w:noWrap/>
            <w:vAlign w:val="center"/>
          </w:tcPr>
          <w:p w14:paraId="2C189D3B">
            <w:pPr>
              <w:pStyle w:val="14"/>
              <w:snapToGrid w:val="0"/>
              <w:spacing w:after="0" w:line="240" w:lineRule="auto"/>
              <w:ind w:left="0" w:leftChars="0" w:right="0" w:rightChars="0" w:firstLine="0" w:firstLineChars="0"/>
              <w:rPr>
                <w:rFonts w:ascii="宋体" w:hAnsi="宋体"/>
                <w:b/>
                <w:bCs/>
                <w:color w:val="auto"/>
                <w:sz w:val="22"/>
                <w:szCs w:val="24"/>
                <w:highlight w:val="none"/>
              </w:rPr>
            </w:pPr>
            <w:r>
              <w:rPr>
                <w:rFonts w:hint="eastAsia" w:ascii="宋体" w:hAnsi="宋体"/>
                <w:b/>
                <w:bCs/>
                <w:color w:val="auto"/>
                <w:sz w:val="22"/>
                <w:szCs w:val="24"/>
                <w:highlight w:val="none"/>
              </w:rPr>
              <w:t>单价</w:t>
            </w:r>
          </w:p>
          <w:p w14:paraId="5FA9FAB2">
            <w:pPr>
              <w:pStyle w:val="14"/>
              <w:snapToGrid w:val="0"/>
              <w:spacing w:after="0" w:line="240" w:lineRule="auto"/>
              <w:ind w:left="0" w:leftChars="0" w:right="0" w:rightChars="0" w:firstLine="0" w:firstLineChars="0"/>
              <w:rPr>
                <w:rFonts w:ascii="宋体" w:hAnsi="宋体"/>
                <w:b/>
                <w:bCs/>
                <w:color w:val="auto"/>
                <w:sz w:val="22"/>
                <w:szCs w:val="24"/>
                <w:highlight w:val="none"/>
              </w:rPr>
            </w:pPr>
            <w:r>
              <w:rPr>
                <w:rFonts w:hint="eastAsia" w:ascii="宋体" w:hAnsi="宋体"/>
                <w:b/>
                <w:bCs/>
                <w:color w:val="auto"/>
                <w:sz w:val="22"/>
                <w:szCs w:val="24"/>
                <w:highlight w:val="none"/>
              </w:rPr>
              <w:t>（元）</w:t>
            </w:r>
          </w:p>
        </w:tc>
        <w:tc>
          <w:tcPr>
            <w:tcW w:w="992" w:type="dxa"/>
            <w:tcBorders>
              <w:top w:val="single" w:color="000000" w:sz="8" w:space="0"/>
              <w:left w:val="single" w:color="000000" w:sz="4" w:space="0"/>
              <w:bottom w:val="single" w:color="000000" w:sz="4" w:space="0"/>
              <w:right w:val="single" w:color="000000" w:sz="4" w:space="0"/>
            </w:tcBorders>
            <w:noWrap/>
            <w:vAlign w:val="center"/>
          </w:tcPr>
          <w:p w14:paraId="779D1768">
            <w:pPr>
              <w:pStyle w:val="14"/>
              <w:snapToGrid w:val="0"/>
              <w:spacing w:after="0" w:line="240" w:lineRule="auto"/>
              <w:ind w:left="0" w:leftChars="0" w:right="0" w:rightChars="0" w:firstLine="0" w:firstLineChars="0"/>
              <w:rPr>
                <w:rFonts w:ascii="宋体" w:hAnsi="宋体"/>
                <w:b/>
                <w:bCs/>
                <w:color w:val="auto"/>
                <w:sz w:val="22"/>
                <w:szCs w:val="24"/>
                <w:highlight w:val="none"/>
              </w:rPr>
            </w:pPr>
            <w:r>
              <w:rPr>
                <w:rFonts w:hint="eastAsia" w:ascii="宋体" w:hAnsi="宋体"/>
                <w:b/>
                <w:bCs/>
                <w:color w:val="auto"/>
                <w:sz w:val="22"/>
                <w:szCs w:val="24"/>
                <w:highlight w:val="none"/>
              </w:rPr>
              <w:t>合价</w:t>
            </w:r>
          </w:p>
          <w:p w14:paraId="393C7B85">
            <w:pPr>
              <w:pStyle w:val="14"/>
              <w:snapToGrid w:val="0"/>
              <w:spacing w:after="0" w:line="240" w:lineRule="auto"/>
              <w:ind w:left="0" w:leftChars="0" w:right="0" w:rightChars="0" w:firstLine="0" w:firstLineChars="0"/>
              <w:rPr>
                <w:rFonts w:ascii="宋体" w:hAnsi="宋体"/>
                <w:b/>
                <w:bCs/>
                <w:color w:val="auto"/>
                <w:sz w:val="22"/>
                <w:szCs w:val="24"/>
                <w:highlight w:val="none"/>
              </w:rPr>
            </w:pPr>
            <w:r>
              <w:rPr>
                <w:rFonts w:hint="eastAsia" w:ascii="宋体" w:hAnsi="宋体"/>
                <w:b/>
                <w:bCs/>
                <w:color w:val="auto"/>
                <w:sz w:val="22"/>
                <w:szCs w:val="24"/>
                <w:highlight w:val="none"/>
              </w:rPr>
              <w:t>（元）</w:t>
            </w:r>
          </w:p>
        </w:tc>
        <w:tc>
          <w:tcPr>
            <w:tcW w:w="506" w:type="dxa"/>
            <w:tcBorders>
              <w:top w:val="single" w:color="000000" w:sz="8" w:space="0"/>
              <w:left w:val="single" w:color="000000" w:sz="4" w:space="0"/>
              <w:bottom w:val="single" w:color="000000" w:sz="4" w:space="0"/>
              <w:right w:val="single" w:color="000000" w:sz="8" w:space="0"/>
            </w:tcBorders>
            <w:noWrap/>
            <w:vAlign w:val="center"/>
          </w:tcPr>
          <w:p w14:paraId="354CD8AC">
            <w:pPr>
              <w:pStyle w:val="14"/>
              <w:snapToGrid w:val="0"/>
              <w:spacing w:after="0" w:line="240" w:lineRule="auto"/>
              <w:ind w:left="0" w:leftChars="0" w:right="0" w:rightChars="0" w:firstLine="0" w:firstLineChars="0"/>
              <w:rPr>
                <w:rFonts w:ascii="宋体" w:hAnsi="宋体"/>
                <w:b/>
                <w:bCs/>
                <w:color w:val="auto"/>
                <w:sz w:val="22"/>
                <w:szCs w:val="24"/>
                <w:highlight w:val="none"/>
              </w:rPr>
            </w:pPr>
            <w:r>
              <w:rPr>
                <w:rFonts w:hint="eastAsia" w:ascii="宋体" w:hAnsi="宋体"/>
                <w:b/>
                <w:bCs/>
                <w:color w:val="auto"/>
                <w:sz w:val="22"/>
                <w:szCs w:val="24"/>
                <w:highlight w:val="none"/>
              </w:rPr>
              <w:t>备注</w:t>
            </w:r>
          </w:p>
        </w:tc>
      </w:tr>
      <w:tr w14:paraId="22ABB910">
        <w:tblPrEx>
          <w:tblCellMar>
            <w:top w:w="0" w:type="dxa"/>
            <w:left w:w="108" w:type="dxa"/>
            <w:bottom w:w="0" w:type="dxa"/>
            <w:right w:w="108" w:type="dxa"/>
          </w:tblCellMar>
        </w:tblPrEx>
        <w:trPr>
          <w:trHeight w:val="848"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188385CE">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r>
              <w:rPr>
                <w:rFonts w:hint="eastAsia" w:asciiTheme="minorEastAsia" w:hAnsiTheme="minorEastAsia" w:eastAsiaTheme="minorEastAsia"/>
                <w:color w:val="auto"/>
                <w:sz w:val="22"/>
                <w:szCs w:val="24"/>
                <w:highlight w:val="none"/>
              </w:rPr>
              <w:t>1</w:t>
            </w:r>
          </w:p>
        </w:tc>
        <w:tc>
          <w:tcPr>
            <w:tcW w:w="770" w:type="dxa"/>
            <w:tcBorders>
              <w:top w:val="single" w:color="000000" w:sz="4" w:space="0"/>
              <w:left w:val="single" w:color="000000" w:sz="4" w:space="0"/>
              <w:bottom w:val="single" w:color="000000" w:sz="4" w:space="0"/>
              <w:right w:val="single" w:color="000000" w:sz="4" w:space="0"/>
            </w:tcBorders>
            <w:vAlign w:val="center"/>
          </w:tcPr>
          <w:p w14:paraId="75777B8F">
            <w:pPr>
              <w:pStyle w:val="14"/>
              <w:snapToGrid w:val="0"/>
              <w:spacing w:after="0" w:line="240" w:lineRule="auto"/>
              <w:ind w:left="0" w:leftChars="0" w:right="0" w:rightChars="0" w:firstLine="0" w:firstLineChars="0"/>
              <w:rPr>
                <w:rFonts w:asciiTheme="minorEastAsia" w:hAnsiTheme="minorEastAsia" w:eastAsiaTheme="minorEastAsia"/>
                <w:bCs/>
                <w:color w:val="auto"/>
                <w:sz w:val="22"/>
                <w:szCs w:val="24"/>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2025289">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4838" w:type="dxa"/>
            <w:tcBorders>
              <w:top w:val="single" w:color="000000" w:sz="4" w:space="0"/>
              <w:left w:val="single" w:color="000000" w:sz="4" w:space="0"/>
              <w:bottom w:val="single" w:color="000000" w:sz="4" w:space="0"/>
              <w:right w:val="single" w:color="000000" w:sz="4" w:space="0"/>
            </w:tcBorders>
            <w:vAlign w:val="center"/>
          </w:tcPr>
          <w:p w14:paraId="2302E5AB">
            <w:pPr>
              <w:pStyle w:val="14"/>
              <w:snapToGrid w:val="0"/>
              <w:spacing w:after="0" w:line="240" w:lineRule="auto"/>
              <w:ind w:left="0" w:leftChars="0" w:right="0" w:rightChars="0" w:firstLine="0" w:firstLineChars="0"/>
              <w:jc w:val="left"/>
              <w:rPr>
                <w:rFonts w:asciiTheme="minorEastAsia" w:hAnsiTheme="minorEastAsia" w:eastAsiaTheme="minorEastAsia"/>
                <w:color w:val="auto"/>
                <w:sz w:val="22"/>
                <w:szCs w:val="24"/>
                <w:highlight w:val="none"/>
              </w:rPr>
            </w:pPr>
          </w:p>
        </w:tc>
        <w:tc>
          <w:tcPr>
            <w:tcW w:w="548" w:type="dxa"/>
            <w:tcBorders>
              <w:top w:val="single" w:color="000000" w:sz="4" w:space="0"/>
              <w:left w:val="single" w:color="000000" w:sz="4" w:space="0"/>
              <w:bottom w:val="single" w:color="000000" w:sz="4" w:space="0"/>
              <w:right w:val="single" w:color="000000" w:sz="4" w:space="0"/>
            </w:tcBorders>
            <w:noWrap/>
            <w:vAlign w:val="center"/>
          </w:tcPr>
          <w:p w14:paraId="6154BBBD">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14:paraId="76279A2C">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801" w:type="dxa"/>
            <w:tcBorders>
              <w:top w:val="single" w:color="000000" w:sz="4" w:space="0"/>
              <w:left w:val="single" w:color="000000" w:sz="4" w:space="0"/>
              <w:bottom w:val="single" w:color="000000" w:sz="4" w:space="0"/>
              <w:right w:val="single" w:color="000000" w:sz="4" w:space="0"/>
            </w:tcBorders>
            <w:noWrap/>
            <w:vAlign w:val="center"/>
          </w:tcPr>
          <w:p w14:paraId="5A6A1DC0">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326082FB">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506" w:type="dxa"/>
            <w:tcBorders>
              <w:top w:val="single" w:color="000000" w:sz="4" w:space="0"/>
              <w:left w:val="single" w:color="000000" w:sz="4" w:space="0"/>
              <w:bottom w:val="single" w:color="000000" w:sz="4" w:space="0"/>
              <w:right w:val="single" w:color="000000" w:sz="8" w:space="0"/>
            </w:tcBorders>
            <w:vAlign w:val="center"/>
          </w:tcPr>
          <w:p w14:paraId="5E1333B3">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r>
      <w:tr w14:paraId="58180C8C">
        <w:tblPrEx>
          <w:tblCellMar>
            <w:top w:w="0" w:type="dxa"/>
            <w:left w:w="108" w:type="dxa"/>
            <w:bottom w:w="0" w:type="dxa"/>
            <w:right w:w="108" w:type="dxa"/>
          </w:tblCellMar>
        </w:tblPrEx>
        <w:trPr>
          <w:trHeight w:val="848"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0E1D3A54">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r>
              <w:rPr>
                <w:rFonts w:hint="eastAsia" w:asciiTheme="minorEastAsia" w:hAnsiTheme="minorEastAsia" w:eastAsiaTheme="minorEastAsia"/>
                <w:color w:val="auto"/>
                <w:sz w:val="22"/>
                <w:szCs w:val="24"/>
                <w:highlight w:val="none"/>
              </w:rPr>
              <w:t>2</w:t>
            </w:r>
          </w:p>
        </w:tc>
        <w:tc>
          <w:tcPr>
            <w:tcW w:w="770" w:type="dxa"/>
            <w:tcBorders>
              <w:top w:val="single" w:color="000000" w:sz="4" w:space="0"/>
              <w:left w:val="single" w:color="000000" w:sz="4" w:space="0"/>
              <w:bottom w:val="single" w:color="000000" w:sz="4" w:space="0"/>
              <w:right w:val="single" w:color="000000" w:sz="4" w:space="0"/>
            </w:tcBorders>
            <w:vAlign w:val="center"/>
          </w:tcPr>
          <w:p w14:paraId="3E15C807">
            <w:pPr>
              <w:pStyle w:val="14"/>
              <w:snapToGrid w:val="0"/>
              <w:spacing w:after="0" w:line="240" w:lineRule="auto"/>
              <w:ind w:left="0" w:leftChars="0" w:right="0" w:rightChars="0" w:firstLine="0" w:firstLineChars="0"/>
              <w:rPr>
                <w:rFonts w:asciiTheme="minorEastAsia" w:hAnsiTheme="minorEastAsia" w:eastAsiaTheme="minorEastAsia"/>
                <w:bCs/>
                <w:color w:val="auto"/>
                <w:sz w:val="22"/>
                <w:szCs w:val="24"/>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907A40C">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4838" w:type="dxa"/>
            <w:tcBorders>
              <w:top w:val="single" w:color="000000" w:sz="4" w:space="0"/>
              <w:left w:val="single" w:color="000000" w:sz="4" w:space="0"/>
              <w:bottom w:val="single" w:color="000000" w:sz="4" w:space="0"/>
              <w:right w:val="single" w:color="000000" w:sz="4" w:space="0"/>
            </w:tcBorders>
            <w:vAlign w:val="center"/>
          </w:tcPr>
          <w:p w14:paraId="04776781">
            <w:pPr>
              <w:pStyle w:val="14"/>
              <w:snapToGrid w:val="0"/>
              <w:spacing w:after="0" w:line="240" w:lineRule="auto"/>
              <w:ind w:left="0" w:leftChars="0" w:right="0" w:rightChars="0" w:firstLine="0" w:firstLineChars="0"/>
              <w:jc w:val="left"/>
              <w:rPr>
                <w:rFonts w:asciiTheme="minorEastAsia" w:hAnsiTheme="minorEastAsia" w:eastAsiaTheme="minorEastAsia"/>
                <w:color w:val="auto"/>
                <w:sz w:val="22"/>
                <w:szCs w:val="24"/>
                <w:highlight w:val="none"/>
              </w:rPr>
            </w:pPr>
          </w:p>
        </w:tc>
        <w:tc>
          <w:tcPr>
            <w:tcW w:w="548" w:type="dxa"/>
            <w:tcBorders>
              <w:top w:val="single" w:color="000000" w:sz="4" w:space="0"/>
              <w:left w:val="single" w:color="000000" w:sz="4" w:space="0"/>
              <w:bottom w:val="single" w:color="000000" w:sz="4" w:space="0"/>
              <w:right w:val="single" w:color="000000" w:sz="4" w:space="0"/>
            </w:tcBorders>
            <w:noWrap/>
            <w:vAlign w:val="center"/>
          </w:tcPr>
          <w:p w14:paraId="62C4017B">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14:paraId="300D2C96">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801" w:type="dxa"/>
            <w:tcBorders>
              <w:top w:val="single" w:color="000000" w:sz="4" w:space="0"/>
              <w:left w:val="single" w:color="000000" w:sz="4" w:space="0"/>
              <w:bottom w:val="single" w:color="000000" w:sz="4" w:space="0"/>
              <w:right w:val="single" w:color="000000" w:sz="4" w:space="0"/>
            </w:tcBorders>
            <w:noWrap/>
            <w:vAlign w:val="center"/>
          </w:tcPr>
          <w:p w14:paraId="2B2218D7">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0BA7C171">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506" w:type="dxa"/>
            <w:tcBorders>
              <w:top w:val="single" w:color="000000" w:sz="4" w:space="0"/>
              <w:left w:val="single" w:color="000000" w:sz="4" w:space="0"/>
              <w:bottom w:val="single" w:color="000000" w:sz="4" w:space="0"/>
              <w:right w:val="single" w:color="000000" w:sz="8" w:space="0"/>
            </w:tcBorders>
            <w:vAlign w:val="center"/>
          </w:tcPr>
          <w:p w14:paraId="04B0BF96">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r>
      <w:tr w14:paraId="0555A628">
        <w:tblPrEx>
          <w:tblCellMar>
            <w:top w:w="0" w:type="dxa"/>
            <w:left w:w="108" w:type="dxa"/>
            <w:bottom w:w="0" w:type="dxa"/>
            <w:right w:w="108" w:type="dxa"/>
          </w:tblCellMar>
        </w:tblPrEx>
        <w:trPr>
          <w:trHeight w:val="848"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691A15B5">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r>
              <w:rPr>
                <w:rFonts w:hint="eastAsia" w:asciiTheme="minorEastAsia" w:hAnsiTheme="minorEastAsia" w:eastAsiaTheme="minorEastAsia"/>
                <w:color w:val="auto"/>
                <w:sz w:val="22"/>
                <w:szCs w:val="24"/>
                <w:highlight w:val="none"/>
              </w:rPr>
              <w:t>3</w:t>
            </w:r>
          </w:p>
        </w:tc>
        <w:tc>
          <w:tcPr>
            <w:tcW w:w="770" w:type="dxa"/>
            <w:tcBorders>
              <w:top w:val="single" w:color="000000" w:sz="4" w:space="0"/>
              <w:left w:val="single" w:color="000000" w:sz="4" w:space="0"/>
              <w:bottom w:val="single" w:color="000000" w:sz="4" w:space="0"/>
              <w:right w:val="single" w:color="000000" w:sz="4" w:space="0"/>
            </w:tcBorders>
            <w:vAlign w:val="center"/>
          </w:tcPr>
          <w:p w14:paraId="75A59A2A">
            <w:pPr>
              <w:pStyle w:val="14"/>
              <w:snapToGrid w:val="0"/>
              <w:spacing w:after="0" w:line="240" w:lineRule="auto"/>
              <w:ind w:left="0" w:leftChars="0" w:right="0" w:rightChars="0" w:firstLine="0" w:firstLineChars="0"/>
              <w:rPr>
                <w:rFonts w:asciiTheme="minorEastAsia" w:hAnsiTheme="minorEastAsia" w:eastAsiaTheme="minorEastAsia"/>
                <w:bCs/>
                <w:color w:val="auto"/>
                <w:sz w:val="22"/>
                <w:szCs w:val="24"/>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443F256">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4838" w:type="dxa"/>
            <w:tcBorders>
              <w:top w:val="single" w:color="000000" w:sz="4" w:space="0"/>
              <w:left w:val="single" w:color="000000" w:sz="4" w:space="0"/>
              <w:bottom w:val="single" w:color="000000" w:sz="4" w:space="0"/>
              <w:right w:val="single" w:color="000000" w:sz="4" w:space="0"/>
            </w:tcBorders>
            <w:vAlign w:val="center"/>
          </w:tcPr>
          <w:p w14:paraId="1679409D">
            <w:pPr>
              <w:pStyle w:val="14"/>
              <w:snapToGrid w:val="0"/>
              <w:spacing w:after="0" w:line="240" w:lineRule="auto"/>
              <w:ind w:left="0" w:leftChars="0" w:right="0" w:rightChars="0" w:firstLine="0" w:firstLineChars="0"/>
              <w:jc w:val="left"/>
              <w:rPr>
                <w:rFonts w:asciiTheme="minorEastAsia" w:hAnsiTheme="minorEastAsia" w:eastAsiaTheme="minorEastAsia"/>
                <w:color w:val="auto"/>
                <w:sz w:val="22"/>
                <w:szCs w:val="24"/>
                <w:highlight w:val="none"/>
              </w:rPr>
            </w:pPr>
          </w:p>
        </w:tc>
        <w:tc>
          <w:tcPr>
            <w:tcW w:w="548" w:type="dxa"/>
            <w:tcBorders>
              <w:top w:val="single" w:color="000000" w:sz="4" w:space="0"/>
              <w:left w:val="single" w:color="000000" w:sz="4" w:space="0"/>
              <w:bottom w:val="single" w:color="000000" w:sz="4" w:space="0"/>
              <w:right w:val="single" w:color="000000" w:sz="4" w:space="0"/>
            </w:tcBorders>
            <w:noWrap/>
            <w:vAlign w:val="center"/>
          </w:tcPr>
          <w:p w14:paraId="4BD0C69C">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14:paraId="7AC88834">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801" w:type="dxa"/>
            <w:tcBorders>
              <w:top w:val="single" w:color="000000" w:sz="4" w:space="0"/>
              <w:left w:val="single" w:color="000000" w:sz="4" w:space="0"/>
              <w:bottom w:val="single" w:color="000000" w:sz="4" w:space="0"/>
              <w:right w:val="single" w:color="000000" w:sz="4" w:space="0"/>
            </w:tcBorders>
            <w:noWrap/>
            <w:vAlign w:val="center"/>
          </w:tcPr>
          <w:p w14:paraId="2A3EEFFC">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7A499482">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506" w:type="dxa"/>
            <w:tcBorders>
              <w:top w:val="single" w:color="000000" w:sz="4" w:space="0"/>
              <w:left w:val="single" w:color="000000" w:sz="4" w:space="0"/>
              <w:bottom w:val="single" w:color="000000" w:sz="4" w:space="0"/>
              <w:right w:val="single" w:color="000000" w:sz="8" w:space="0"/>
            </w:tcBorders>
            <w:vAlign w:val="center"/>
          </w:tcPr>
          <w:p w14:paraId="31F23326">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r>
      <w:tr w14:paraId="162E8AE8">
        <w:tblPrEx>
          <w:tblCellMar>
            <w:top w:w="0" w:type="dxa"/>
            <w:left w:w="108" w:type="dxa"/>
            <w:bottom w:w="0" w:type="dxa"/>
            <w:right w:w="108" w:type="dxa"/>
          </w:tblCellMar>
        </w:tblPrEx>
        <w:trPr>
          <w:trHeight w:val="848"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34372F0F">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r>
              <w:rPr>
                <w:rFonts w:asciiTheme="minorEastAsia" w:hAnsiTheme="minorEastAsia" w:eastAsiaTheme="minorEastAsia"/>
                <w:color w:val="auto"/>
                <w:sz w:val="22"/>
                <w:szCs w:val="24"/>
                <w:highlight w:val="none"/>
              </w:rPr>
              <w:t>…</w:t>
            </w:r>
          </w:p>
        </w:tc>
        <w:tc>
          <w:tcPr>
            <w:tcW w:w="770" w:type="dxa"/>
            <w:tcBorders>
              <w:top w:val="single" w:color="000000" w:sz="4" w:space="0"/>
              <w:left w:val="single" w:color="000000" w:sz="4" w:space="0"/>
              <w:bottom w:val="single" w:color="000000" w:sz="4" w:space="0"/>
              <w:right w:val="single" w:color="000000" w:sz="4" w:space="0"/>
            </w:tcBorders>
            <w:vAlign w:val="center"/>
          </w:tcPr>
          <w:p w14:paraId="24CE9B22">
            <w:pPr>
              <w:pStyle w:val="14"/>
              <w:snapToGrid w:val="0"/>
              <w:spacing w:after="0" w:line="240" w:lineRule="auto"/>
              <w:ind w:left="0" w:leftChars="0" w:right="0" w:rightChars="0" w:firstLine="0" w:firstLineChars="0"/>
              <w:rPr>
                <w:rFonts w:asciiTheme="minorEastAsia" w:hAnsiTheme="minorEastAsia" w:eastAsiaTheme="minorEastAsia"/>
                <w:bCs/>
                <w:color w:val="auto"/>
                <w:sz w:val="22"/>
                <w:szCs w:val="24"/>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BD3A54C">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4838" w:type="dxa"/>
            <w:tcBorders>
              <w:top w:val="single" w:color="000000" w:sz="4" w:space="0"/>
              <w:left w:val="single" w:color="000000" w:sz="4" w:space="0"/>
              <w:bottom w:val="single" w:color="000000" w:sz="4" w:space="0"/>
              <w:right w:val="single" w:color="000000" w:sz="4" w:space="0"/>
            </w:tcBorders>
            <w:vAlign w:val="center"/>
          </w:tcPr>
          <w:p w14:paraId="27E035A0">
            <w:pPr>
              <w:pStyle w:val="14"/>
              <w:snapToGrid w:val="0"/>
              <w:spacing w:after="0" w:line="240" w:lineRule="auto"/>
              <w:ind w:left="0" w:leftChars="0" w:right="0" w:rightChars="0" w:firstLine="0" w:firstLineChars="0"/>
              <w:jc w:val="left"/>
              <w:rPr>
                <w:rFonts w:asciiTheme="minorEastAsia" w:hAnsiTheme="minorEastAsia" w:eastAsiaTheme="minorEastAsia"/>
                <w:color w:val="auto"/>
                <w:sz w:val="22"/>
                <w:szCs w:val="24"/>
                <w:highlight w:val="none"/>
              </w:rPr>
            </w:pPr>
          </w:p>
        </w:tc>
        <w:tc>
          <w:tcPr>
            <w:tcW w:w="548" w:type="dxa"/>
            <w:tcBorders>
              <w:top w:val="single" w:color="000000" w:sz="4" w:space="0"/>
              <w:left w:val="single" w:color="000000" w:sz="4" w:space="0"/>
              <w:bottom w:val="single" w:color="000000" w:sz="4" w:space="0"/>
              <w:right w:val="single" w:color="000000" w:sz="4" w:space="0"/>
            </w:tcBorders>
            <w:noWrap/>
            <w:vAlign w:val="center"/>
          </w:tcPr>
          <w:p w14:paraId="3DB032C8">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14:paraId="268B57AE">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801" w:type="dxa"/>
            <w:tcBorders>
              <w:top w:val="single" w:color="000000" w:sz="4" w:space="0"/>
              <w:left w:val="single" w:color="000000" w:sz="4" w:space="0"/>
              <w:bottom w:val="single" w:color="000000" w:sz="4" w:space="0"/>
              <w:right w:val="single" w:color="000000" w:sz="4" w:space="0"/>
            </w:tcBorders>
            <w:noWrap/>
            <w:vAlign w:val="center"/>
          </w:tcPr>
          <w:p w14:paraId="5613EC02">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3E8BED40">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506" w:type="dxa"/>
            <w:tcBorders>
              <w:top w:val="single" w:color="000000" w:sz="4" w:space="0"/>
              <w:left w:val="single" w:color="000000" w:sz="4" w:space="0"/>
              <w:bottom w:val="single" w:color="000000" w:sz="4" w:space="0"/>
              <w:right w:val="single" w:color="000000" w:sz="8" w:space="0"/>
            </w:tcBorders>
            <w:vAlign w:val="center"/>
          </w:tcPr>
          <w:p w14:paraId="665B2F37">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r>
      <w:tr w14:paraId="6D3A529B">
        <w:tblPrEx>
          <w:tblCellMar>
            <w:top w:w="0" w:type="dxa"/>
            <w:left w:w="108" w:type="dxa"/>
            <w:bottom w:w="0" w:type="dxa"/>
            <w:right w:w="108" w:type="dxa"/>
          </w:tblCellMar>
        </w:tblPrEx>
        <w:trPr>
          <w:trHeight w:val="699" w:hRule="atLeast"/>
          <w:jc w:val="center"/>
        </w:trPr>
        <w:tc>
          <w:tcPr>
            <w:tcW w:w="10256" w:type="dxa"/>
            <w:gridSpan w:val="9"/>
            <w:tcBorders>
              <w:top w:val="single" w:color="000000" w:sz="4" w:space="0"/>
              <w:left w:val="single" w:color="000000" w:sz="8" w:space="0"/>
              <w:bottom w:val="single" w:color="000000" w:sz="4" w:space="0"/>
              <w:right w:val="single" w:color="000000" w:sz="8" w:space="0"/>
            </w:tcBorders>
            <w:noWrap/>
            <w:vAlign w:val="center"/>
          </w:tcPr>
          <w:p w14:paraId="139AFB3B">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r>
              <w:rPr>
                <w:rFonts w:hint="eastAsia" w:ascii="宋体" w:hAnsi="宋体" w:cs="宋体"/>
                <w:b/>
                <w:bCs/>
                <w:color w:val="auto"/>
                <w:sz w:val="24"/>
                <w:szCs w:val="24"/>
                <w:highlight w:val="none"/>
              </w:rPr>
              <w:t>投标总价(人民币大写)：</w:t>
            </w:r>
            <w:r>
              <w:rPr>
                <w:rFonts w:hint="eastAsia" w:ascii="宋体" w:hAnsi="宋体" w:cs="宋体"/>
                <w:b/>
                <w:bCs/>
                <w:color w:val="auto"/>
                <w:sz w:val="24"/>
                <w:szCs w:val="24"/>
                <w:highlight w:val="none"/>
                <w:u w:val="single"/>
              </w:rPr>
              <w:t xml:space="preserve">                          （￥：         元）</w:t>
            </w:r>
          </w:p>
        </w:tc>
      </w:tr>
      <w:tr w14:paraId="5CCCC96E">
        <w:tblPrEx>
          <w:tblCellMar>
            <w:top w:w="0" w:type="dxa"/>
            <w:left w:w="108" w:type="dxa"/>
            <w:bottom w:w="0" w:type="dxa"/>
            <w:right w:w="108" w:type="dxa"/>
          </w:tblCellMar>
        </w:tblPrEx>
        <w:trPr>
          <w:trHeight w:val="699" w:hRule="atLeast"/>
          <w:jc w:val="center"/>
        </w:trPr>
        <w:tc>
          <w:tcPr>
            <w:tcW w:w="10256" w:type="dxa"/>
            <w:gridSpan w:val="9"/>
            <w:tcBorders>
              <w:top w:val="single" w:color="000000" w:sz="4" w:space="0"/>
              <w:left w:val="single" w:color="000000" w:sz="8" w:space="0"/>
              <w:bottom w:val="single" w:color="000000" w:sz="4" w:space="0"/>
              <w:right w:val="single" w:color="000000" w:sz="8" w:space="0"/>
            </w:tcBorders>
            <w:noWrap/>
            <w:vAlign w:val="center"/>
          </w:tcPr>
          <w:p w14:paraId="1D5C399A">
            <w:pPr>
              <w:pStyle w:val="14"/>
              <w:snapToGrid w:val="0"/>
              <w:spacing w:after="0" w:line="240" w:lineRule="auto"/>
              <w:ind w:left="0" w:leftChars="0" w:right="0" w:rightChars="0" w:firstLine="0" w:firstLineChars="0"/>
              <w:jc w:val="both"/>
              <w:rPr>
                <w:rFonts w:asciiTheme="minorEastAsia" w:hAnsiTheme="minorEastAsia" w:eastAsiaTheme="minorEastAsia"/>
                <w:color w:val="auto"/>
                <w:sz w:val="22"/>
                <w:szCs w:val="24"/>
                <w:highlight w:val="none"/>
              </w:rPr>
            </w:pPr>
            <w:r>
              <w:rPr>
                <w:rFonts w:hint="eastAsia" w:ascii="宋体" w:hAnsi="宋体" w:cs="宋体"/>
                <w:color w:val="auto"/>
                <w:sz w:val="24"/>
                <w:szCs w:val="21"/>
                <w:highlight w:val="none"/>
              </w:rPr>
              <w:t>上述报价包含但不限于货款、标准附件、备品备件、专用工具、包装、运输、装卸、保险、税金、货到就位以及安装、调试、培训、售后服务等一切费用。</w:t>
            </w:r>
          </w:p>
        </w:tc>
      </w:tr>
    </w:tbl>
    <w:p w14:paraId="694CBF8F">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1.投标人根据招标文件采购清单中的各项内容并按照上述格式详细填报计费项目、分项价格和投标合价。投标人可根据填报内容需要自行扩展表格，但不能修改表格内实质性内容。</w:t>
      </w:r>
    </w:p>
    <w:p w14:paraId="73A525F3">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2.表中的投标总价应和开标一览表中的投标总价相一致；</w:t>
      </w:r>
    </w:p>
    <w:p w14:paraId="44B2A531">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3.如果按单价计算的结果与总价不一致，以单价为准修正总价，但单价金额小数点有明显错误的除外；</w:t>
      </w:r>
    </w:p>
    <w:p w14:paraId="54A7B748">
      <w:pPr>
        <w:spacing w:line="360" w:lineRule="auto"/>
        <w:ind w:firstLine="3720" w:firstLineChars="1550"/>
        <w:rPr>
          <w:rFonts w:ascii="宋体" w:hAnsi="宋体" w:cs="宋体"/>
          <w:color w:val="auto"/>
          <w:kern w:val="0"/>
          <w:sz w:val="24"/>
          <w:szCs w:val="24"/>
          <w:highlight w:val="none"/>
        </w:rPr>
      </w:pPr>
    </w:p>
    <w:p w14:paraId="68DB96B9">
      <w:pPr>
        <w:spacing w:line="360" w:lineRule="auto"/>
        <w:ind w:firstLine="3720" w:firstLineChars="1550"/>
        <w:rPr>
          <w:rFonts w:ascii="宋体" w:hAnsi="宋体" w:cs="宋体"/>
          <w:color w:val="auto"/>
          <w:kern w:val="0"/>
          <w:sz w:val="24"/>
          <w:szCs w:val="24"/>
          <w:highlight w:val="none"/>
        </w:rPr>
      </w:pPr>
    </w:p>
    <w:p w14:paraId="3F8F5ADB">
      <w:pPr>
        <w:pStyle w:val="9"/>
        <w:spacing w:line="360" w:lineRule="exact"/>
        <w:ind w:left="0" w:leftChars="0" w:right="-340" w:rightChars="-162" w:firstLine="0" w:firstLineChars="0"/>
        <w:rPr>
          <w:rFonts w:ascii="宋体" w:hAnsi="宋体" w:cs="宋体"/>
          <w:color w:val="auto"/>
          <w:sz w:val="24"/>
          <w:highlight w:val="none"/>
          <w:u w:val="single"/>
        </w:rPr>
      </w:pPr>
      <w:r>
        <w:rPr>
          <w:rFonts w:hint="eastAsia" w:ascii="宋体" w:hAnsi="宋体" w:cs="宋体"/>
          <w:color w:val="auto"/>
          <w:kern w:val="0"/>
          <w:sz w:val="24"/>
          <w:highlight w:val="none"/>
        </w:rPr>
        <w:t>投标供应商</w:t>
      </w:r>
      <w:r>
        <w:rPr>
          <w:rFonts w:hint="eastAsia" w:ascii="宋体" w:hAnsi="宋体" w:cs="宋体"/>
          <w:color w:val="auto"/>
          <w:sz w:val="24"/>
          <w:highlight w:val="none"/>
        </w:rPr>
        <w:t>：（电子签章）</w:t>
      </w:r>
    </w:p>
    <w:p w14:paraId="3B9C4A9E">
      <w:pPr>
        <w:pStyle w:val="9"/>
        <w:spacing w:line="360" w:lineRule="exact"/>
        <w:ind w:left="1" w:leftChars="0" w:right="-340" w:rightChars="-162" w:firstLine="2880" w:firstLineChars="1200"/>
        <w:rPr>
          <w:rFonts w:ascii="宋体" w:hAnsi="宋体" w:cs="宋体"/>
          <w:color w:val="auto"/>
          <w:sz w:val="24"/>
          <w:highlight w:val="none"/>
          <w:u w:val="single"/>
        </w:rPr>
      </w:pPr>
    </w:p>
    <w:p w14:paraId="36CD3B33">
      <w:pPr>
        <w:spacing w:line="460" w:lineRule="exact"/>
        <w:ind w:right="-57" w:rightChars="-27"/>
        <w:jc w:val="left"/>
        <w:rPr>
          <w:rFonts w:ascii="宋体" w:hAnsi="宋体" w:cs="宋体"/>
          <w:color w:val="auto"/>
          <w:sz w:val="24"/>
          <w:szCs w:val="24"/>
          <w:highlight w:val="none"/>
          <w:lang w:bidi="zh-CN"/>
        </w:rPr>
      </w:pPr>
      <w:r>
        <w:rPr>
          <w:rFonts w:hint="eastAsia" w:ascii="宋体" w:hAnsi="宋体" w:cs="宋体"/>
          <w:color w:val="auto"/>
          <w:sz w:val="24"/>
          <w:szCs w:val="24"/>
          <w:highlight w:val="none"/>
          <w:lang w:bidi="zh-CN"/>
        </w:rPr>
        <w:t>法定代表人或其委托代理人：（</w:t>
      </w:r>
      <w:r>
        <w:rPr>
          <w:rFonts w:hint="eastAsia" w:ascii="宋体" w:hAnsi="宋体" w:cs="宋体"/>
          <w:color w:val="auto"/>
          <w:sz w:val="24"/>
          <w:szCs w:val="24"/>
          <w:highlight w:val="none"/>
        </w:rPr>
        <w:t>电子签章或签字</w:t>
      </w:r>
      <w:r>
        <w:rPr>
          <w:rFonts w:hint="eastAsia" w:ascii="宋体" w:hAnsi="宋体" w:cs="宋体"/>
          <w:color w:val="auto"/>
          <w:sz w:val="24"/>
          <w:szCs w:val="24"/>
          <w:highlight w:val="none"/>
          <w:lang w:bidi="zh-CN"/>
        </w:rPr>
        <w:t>）</w:t>
      </w:r>
    </w:p>
    <w:p w14:paraId="7BAC252C">
      <w:pPr>
        <w:pStyle w:val="9"/>
        <w:spacing w:line="360" w:lineRule="exact"/>
        <w:ind w:left="1" w:leftChars="0" w:right="-340" w:rightChars="-162" w:firstLine="480" w:firstLineChars="200"/>
        <w:rPr>
          <w:rFonts w:ascii="宋体" w:hAnsi="宋体" w:cs="宋体"/>
          <w:color w:val="auto"/>
          <w:sz w:val="24"/>
          <w:highlight w:val="none"/>
        </w:rPr>
      </w:pPr>
    </w:p>
    <w:p w14:paraId="534A473C">
      <w:pPr>
        <w:pStyle w:val="9"/>
        <w:spacing w:line="360" w:lineRule="exact"/>
        <w:ind w:left="0" w:leftChars="0" w:right="-340" w:rightChars="-162" w:firstLine="0" w:firstLineChars="0"/>
        <w:rPr>
          <w:rFonts w:ascii="宋体" w:hAnsi="宋体" w:cs="宋体"/>
          <w:b/>
          <w:bCs/>
          <w:color w:val="auto"/>
          <w:sz w:val="24"/>
          <w:highlight w:val="none"/>
        </w:rPr>
      </w:pPr>
      <w:r>
        <w:rPr>
          <w:rFonts w:hint="eastAsia" w:ascii="宋体" w:hAnsi="宋体" w:cs="宋体"/>
          <w:color w:val="auto"/>
          <w:sz w:val="24"/>
          <w:highlight w:val="none"/>
        </w:rPr>
        <w:t>日    期：年月日</w:t>
      </w:r>
    </w:p>
    <w:p w14:paraId="3D987023">
      <w:pPr>
        <w:spacing w:line="480" w:lineRule="auto"/>
        <w:ind w:right="-340" w:rightChars="-162"/>
        <w:rPr>
          <w:rFonts w:ascii="宋体" w:hAnsi="宋体" w:cs="宋体"/>
          <w:color w:val="auto"/>
          <w:sz w:val="32"/>
          <w:szCs w:val="32"/>
          <w:highlight w:val="none"/>
        </w:rPr>
      </w:pPr>
    </w:p>
    <w:p w14:paraId="2DBB270C">
      <w:pPr>
        <w:widowControl/>
        <w:jc w:val="left"/>
        <w:rPr>
          <w:color w:val="auto"/>
          <w:highlight w:val="none"/>
        </w:rPr>
      </w:pPr>
      <w:r>
        <w:rPr>
          <w:color w:val="auto"/>
          <w:highlight w:val="none"/>
        </w:rPr>
        <w:br w:type="page"/>
      </w:r>
    </w:p>
    <w:p w14:paraId="7AE5C437">
      <w:pPr>
        <w:pStyle w:val="14"/>
        <w:snapToGrid w:val="0"/>
        <w:spacing w:after="0" w:line="360" w:lineRule="auto"/>
        <w:ind w:left="0" w:leftChars="0" w:right="0" w:rightChars="0" w:firstLine="0" w:firstLineChars="0"/>
        <w:outlineLvl w:val="0"/>
        <w:rPr>
          <w:rFonts w:ascii="宋体" w:hAnsi="宋体" w:cs="宋体"/>
          <w:b/>
          <w:bCs/>
          <w:color w:val="auto"/>
          <w:sz w:val="32"/>
          <w:highlight w:val="none"/>
        </w:rPr>
      </w:pPr>
      <w:bookmarkStart w:id="138" w:name="_Toc12782"/>
      <w:r>
        <w:rPr>
          <w:rFonts w:hint="eastAsia" w:ascii="宋体" w:hAnsi="宋体" w:cs="宋体"/>
          <w:b/>
          <w:bCs/>
          <w:color w:val="auto"/>
          <w:sz w:val="32"/>
          <w:highlight w:val="none"/>
        </w:rPr>
        <w:t>六、技术规格响应/偏离表</w:t>
      </w:r>
      <w:bookmarkEnd w:id="138"/>
    </w:p>
    <w:tbl>
      <w:tblPr>
        <w:tblStyle w:val="16"/>
        <w:tblW w:w="9399" w:type="dxa"/>
        <w:jc w:val="center"/>
        <w:tblLayout w:type="fixed"/>
        <w:tblCellMar>
          <w:top w:w="0" w:type="dxa"/>
          <w:left w:w="28" w:type="dxa"/>
          <w:bottom w:w="0" w:type="dxa"/>
          <w:right w:w="28" w:type="dxa"/>
        </w:tblCellMar>
      </w:tblPr>
      <w:tblGrid>
        <w:gridCol w:w="951"/>
        <w:gridCol w:w="1203"/>
        <w:gridCol w:w="2425"/>
        <w:gridCol w:w="2693"/>
        <w:gridCol w:w="1134"/>
        <w:gridCol w:w="993"/>
      </w:tblGrid>
      <w:tr w14:paraId="67B39D51">
        <w:tblPrEx>
          <w:tblCellMar>
            <w:top w:w="0" w:type="dxa"/>
            <w:left w:w="28" w:type="dxa"/>
            <w:bottom w:w="0" w:type="dxa"/>
            <w:right w:w="28" w:type="dxa"/>
          </w:tblCellMar>
        </w:tblPrEx>
        <w:trPr>
          <w:trHeight w:val="875" w:hRule="atLeast"/>
          <w:jc w:val="center"/>
        </w:trPr>
        <w:tc>
          <w:tcPr>
            <w:tcW w:w="951" w:type="dxa"/>
            <w:tcBorders>
              <w:top w:val="single" w:color="auto" w:sz="4" w:space="0"/>
              <w:left w:val="single" w:color="auto" w:sz="4" w:space="0"/>
              <w:bottom w:val="single" w:color="auto" w:sz="4" w:space="0"/>
              <w:right w:val="single" w:color="auto" w:sz="4" w:space="0"/>
            </w:tcBorders>
            <w:vAlign w:val="center"/>
          </w:tcPr>
          <w:p w14:paraId="73989BF2">
            <w:pPr>
              <w:spacing w:line="320" w:lineRule="exact"/>
              <w:jc w:val="center"/>
              <w:rPr>
                <w:rFonts w:ascii="宋体" w:hAnsi="宋体" w:cs="宋体"/>
                <w:color w:val="auto"/>
                <w:sz w:val="26"/>
                <w:szCs w:val="28"/>
                <w:highlight w:val="none"/>
              </w:rPr>
            </w:pPr>
            <w:r>
              <w:rPr>
                <w:rFonts w:hint="eastAsia" w:ascii="宋体" w:hAnsi="宋体" w:cs="宋体"/>
                <w:color w:val="auto"/>
                <w:sz w:val="26"/>
                <w:szCs w:val="28"/>
                <w:highlight w:val="none"/>
              </w:rPr>
              <w:t>序号</w:t>
            </w:r>
          </w:p>
        </w:tc>
        <w:tc>
          <w:tcPr>
            <w:tcW w:w="1203" w:type="dxa"/>
            <w:tcBorders>
              <w:top w:val="single" w:color="auto" w:sz="4" w:space="0"/>
              <w:left w:val="single" w:color="auto" w:sz="4" w:space="0"/>
              <w:bottom w:val="single" w:color="auto" w:sz="4" w:space="0"/>
              <w:right w:val="single" w:color="auto" w:sz="4" w:space="0"/>
            </w:tcBorders>
            <w:vAlign w:val="center"/>
          </w:tcPr>
          <w:p w14:paraId="75799C21">
            <w:pPr>
              <w:spacing w:line="320" w:lineRule="exact"/>
              <w:jc w:val="center"/>
              <w:rPr>
                <w:rFonts w:ascii="宋体" w:hAnsi="宋体" w:cs="宋体"/>
                <w:color w:val="auto"/>
                <w:sz w:val="26"/>
                <w:szCs w:val="28"/>
                <w:highlight w:val="none"/>
              </w:rPr>
            </w:pPr>
            <w:r>
              <w:rPr>
                <w:rFonts w:hint="eastAsia" w:ascii="宋体" w:hAnsi="宋体" w:cs="宋体"/>
                <w:color w:val="auto"/>
                <w:sz w:val="26"/>
                <w:szCs w:val="28"/>
                <w:highlight w:val="none"/>
              </w:rPr>
              <w:t>名称</w:t>
            </w:r>
          </w:p>
        </w:tc>
        <w:tc>
          <w:tcPr>
            <w:tcW w:w="2425" w:type="dxa"/>
            <w:tcBorders>
              <w:top w:val="single" w:color="auto" w:sz="4" w:space="0"/>
              <w:left w:val="single" w:color="auto" w:sz="4" w:space="0"/>
              <w:bottom w:val="single" w:color="auto" w:sz="4" w:space="0"/>
              <w:right w:val="single" w:color="auto" w:sz="4" w:space="0"/>
            </w:tcBorders>
            <w:vAlign w:val="center"/>
          </w:tcPr>
          <w:p w14:paraId="5BFFCBD8">
            <w:pPr>
              <w:spacing w:line="320" w:lineRule="exact"/>
              <w:rPr>
                <w:rFonts w:ascii="宋体" w:hAnsi="宋体" w:cs="宋体"/>
                <w:color w:val="auto"/>
                <w:sz w:val="26"/>
                <w:szCs w:val="28"/>
                <w:highlight w:val="none"/>
              </w:rPr>
            </w:pPr>
            <w:r>
              <w:rPr>
                <w:rFonts w:hint="eastAsia" w:ascii="宋体" w:hAnsi="宋体" w:cs="宋体"/>
                <w:color w:val="auto"/>
                <w:sz w:val="26"/>
                <w:szCs w:val="28"/>
                <w:highlight w:val="none"/>
              </w:rPr>
              <w:t xml:space="preserve"> 采购参数要求</w:t>
            </w:r>
          </w:p>
        </w:tc>
        <w:tc>
          <w:tcPr>
            <w:tcW w:w="2693" w:type="dxa"/>
            <w:tcBorders>
              <w:top w:val="single" w:color="auto" w:sz="4" w:space="0"/>
              <w:left w:val="nil"/>
              <w:bottom w:val="single" w:color="auto" w:sz="4" w:space="0"/>
              <w:right w:val="single" w:color="auto" w:sz="4" w:space="0"/>
            </w:tcBorders>
            <w:vAlign w:val="center"/>
          </w:tcPr>
          <w:p w14:paraId="029FF664">
            <w:pPr>
              <w:spacing w:line="320" w:lineRule="exact"/>
              <w:jc w:val="center"/>
              <w:rPr>
                <w:rFonts w:ascii="宋体" w:hAnsi="宋体" w:cs="宋体"/>
                <w:color w:val="auto"/>
                <w:sz w:val="26"/>
                <w:szCs w:val="28"/>
                <w:highlight w:val="none"/>
              </w:rPr>
            </w:pPr>
            <w:r>
              <w:rPr>
                <w:rFonts w:hint="eastAsia" w:ascii="宋体" w:hAnsi="宋体" w:cs="宋体"/>
                <w:color w:val="auto"/>
                <w:sz w:val="26"/>
                <w:szCs w:val="28"/>
                <w:highlight w:val="none"/>
              </w:rPr>
              <w:t>投标产品参数</w:t>
            </w:r>
          </w:p>
        </w:tc>
        <w:tc>
          <w:tcPr>
            <w:tcW w:w="1134" w:type="dxa"/>
            <w:tcBorders>
              <w:top w:val="single" w:color="auto" w:sz="4" w:space="0"/>
              <w:left w:val="nil"/>
              <w:bottom w:val="single" w:color="auto" w:sz="4" w:space="0"/>
              <w:right w:val="single" w:color="auto" w:sz="4" w:space="0"/>
            </w:tcBorders>
            <w:vAlign w:val="center"/>
          </w:tcPr>
          <w:p w14:paraId="2A63A904">
            <w:pPr>
              <w:spacing w:line="360" w:lineRule="auto"/>
              <w:jc w:val="center"/>
              <w:rPr>
                <w:rFonts w:ascii="宋体" w:hAnsi="宋体" w:cs="宋体"/>
                <w:color w:val="auto"/>
                <w:sz w:val="26"/>
                <w:szCs w:val="28"/>
                <w:highlight w:val="none"/>
              </w:rPr>
            </w:pPr>
            <w:r>
              <w:rPr>
                <w:rFonts w:hint="eastAsia" w:ascii="宋体" w:hAnsi="宋体" w:cs="宋体"/>
                <w:color w:val="auto"/>
                <w:sz w:val="26"/>
                <w:szCs w:val="28"/>
                <w:highlight w:val="none"/>
              </w:rPr>
              <w:t>偏离</w:t>
            </w:r>
          </w:p>
        </w:tc>
        <w:tc>
          <w:tcPr>
            <w:tcW w:w="993" w:type="dxa"/>
            <w:tcBorders>
              <w:top w:val="single" w:color="auto" w:sz="4" w:space="0"/>
              <w:left w:val="nil"/>
              <w:bottom w:val="single" w:color="auto" w:sz="4" w:space="0"/>
              <w:right w:val="single" w:color="auto" w:sz="4" w:space="0"/>
            </w:tcBorders>
            <w:vAlign w:val="center"/>
          </w:tcPr>
          <w:p w14:paraId="1DEAD157">
            <w:pPr>
              <w:spacing w:line="360" w:lineRule="auto"/>
              <w:jc w:val="center"/>
              <w:rPr>
                <w:rFonts w:ascii="宋体" w:hAnsi="宋体" w:cs="宋体"/>
                <w:color w:val="auto"/>
                <w:sz w:val="26"/>
                <w:szCs w:val="28"/>
                <w:highlight w:val="none"/>
              </w:rPr>
            </w:pPr>
            <w:r>
              <w:rPr>
                <w:rFonts w:hint="eastAsia" w:ascii="宋体" w:hAnsi="宋体" w:cs="宋体"/>
                <w:color w:val="auto"/>
                <w:sz w:val="26"/>
                <w:szCs w:val="28"/>
                <w:highlight w:val="none"/>
              </w:rPr>
              <w:t>说明</w:t>
            </w:r>
          </w:p>
        </w:tc>
      </w:tr>
      <w:tr w14:paraId="246997FF">
        <w:tblPrEx>
          <w:tblCellMar>
            <w:top w:w="0" w:type="dxa"/>
            <w:left w:w="28" w:type="dxa"/>
            <w:bottom w:w="0" w:type="dxa"/>
            <w:right w:w="28" w:type="dxa"/>
          </w:tblCellMar>
        </w:tblPrEx>
        <w:trPr>
          <w:trHeight w:val="800" w:hRule="atLeast"/>
          <w:jc w:val="center"/>
        </w:trPr>
        <w:tc>
          <w:tcPr>
            <w:tcW w:w="951" w:type="dxa"/>
            <w:tcBorders>
              <w:top w:val="single" w:color="auto" w:sz="4" w:space="0"/>
              <w:left w:val="single" w:color="auto" w:sz="4" w:space="0"/>
              <w:bottom w:val="single" w:color="auto" w:sz="4" w:space="0"/>
              <w:right w:val="single" w:color="auto" w:sz="4" w:space="0"/>
            </w:tcBorders>
          </w:tcPr>
          <w:p w14:paraId="2F7A8609">
            <w:pPr>
              <w:spacing w:line="360" w:lineRule="auto"/>
              <w:ind w:firstLine="561" w:firstLineChars="216"/>
              <w:rPr>
                <w:rFonts w:ascii="宋体" w:hAnsi="宋体" w:cs="宋体"/>
                <w:color w:val="auto"/>
                <w:sz w:val="26"/>
                <w:szCs w:val="28"/>
                <w:highlight w:val="none"/>
              </w:rPr>
            </w:pPr>
          </w:p>
        </w:tc>
        <w:tc>
          <w:tcPr>
            <w:tcW w:w="1203" w:type="dxa"/>
            <w:tcBorders>
              <w:top w:val="single" w:color="auto" w:sz="4" w:space="0"/>
              <w:left w:val="single" w:color="auto" w:sz="4" w:space="0"/>
              <w:bottom w:val="single" w:color="auto" w:sz="4" w:space="0"/>
              <w:right w:val="single" w:color="auto" w:sz="4" w:space="0"/>
            </w:tcBorders>
          </w:tcPr>
          <w:p w14:paraId="005C62B4">
            <w:pPr>
              <w:spacing w:line="360" w:lineRule="auto"/>
              <w:ind w:firstLine="561" w:firstLineChars="216"/>
              <w:rPr>
                <w:rFonts w:ascii="宋体" w:hAnsi="宋体" w:cs="宋体"/>
                <w:color w:val="auto"/>
                <w:sz w:val="26"/>
                <w:szCs w:val="28"/>
                <w:highlight w:val="none"/>
              </w:rPr>
            </w:pPr>
          </w:p>
        </w:tc>
        <w:tc>
          <w:tcPr>
            <w:tcW w:w="2425" w:type="dxa"/>
            <w:tcBorders>
              <w:top w:val="single" w:color="auto" w:sz="4" w:space="0"/>
              <w:left w:val="single" w:color="auto" w:sz="4" w:space="0"/>
              <w:bottom w:val="single" w:color="auto" w:sz="4" w:space="0"/>
              <w:right w:val="single" w:color="auto" w:sz="4" w:space="0"/>
            </w:tcBorders>
            <w:vAlign w:val="center"/>
          </w:tcPr>
          <w:p w14:paraId="29A9967E">
            <w:pPr>
              <w:spacing w:line="360" w:lineRule="auto"/>
              <w:ind w:firstLine="561" w:firstLineChars="216"/>
              <w:rPr>
                <w:rFonts w:ascii="宋体" w:hAnsi="宋体" w:cs="宋体"/>
                <w:color w:val="auto"/>
                <w:sz w:val="26"/>
                <w:szCs w:val="28"/>
                <w:highlight w:val="none"/>
              </w:rPr>
            </w:pPr>
          </w:p>
        </w:tc>
        <w:tc>
          <w:tcPr>
            <w:tcW w:w="2693" w:type="dxa"/>
            <w:tcBorders>
              <w:top w:val="single" w:color="auto" w:sz="4" w:space="0"/>
              <w:left w:val="nil"/>
              <w:bottom w:val="single" w:color="auto" w:sz="4" w:space="0"/>
              <w:right w:val="single" w:color="auto" w:sz="4" w:space="0"/>
            </w:tcBorders>
            <w:vAlign w:val="center"/>
          </w:tcPr>
          <w:p w14:paraId="48A0AEF7">
            <w:pPr>
              <w:spacing w:line="360" w:lineRule="auto"/>
              <w:ind w:firstLine="561" w:firstLineChars="216"/>
              <w:rPr>
                <w:rFonts w:ascii="宋体" w:hAnsi="宋体" w:cs="宋体"/>
                <w:color w:val="auto"/>
                <w:sz w:val="26"/>
                <w:szCs w:val="28"/>
                <w:highlight w:val="none"/>
              </w:rPr>
            </w:pPr>
          </w:p>
        </w:tc>
        <w:tc>
          <w:tcPr>
            <w:tcW w:w="1134" w:type="dxa"/>
            <w:tcBorders>
              <w:top w:val="single" w:color="auto" w:sz="4" w:space="0"/>
              <w:left w:val="nil"/>
              <w:bottom w:val="single" w:color="auto" w:sz="4" w:space="0"/>
              <w:right w:val="single" w:color="auto" w:sz="4" w:space="0"/>
            </w:tcBorders>
            <w:vAlign w:val="center"/>
          </w:tcPr>
          <w:p w14:paraId="03E4D70E">
            <w:pPr>
              <w:spacing w:line="360" w:lineRule="auto"/>
              <w:ind w:firstLine="561" w:firstLineChars="216"/>
              <w:rPr>
                <w:rFonts w:ascii="宋体" w:hAnsi="宋体" w:cs="宋体"/>
                <w:color w:val="auto"/>
                <w:sz w:val="26"/>
                <w:szCs w:val="28"/>
                <w:highlight w:val="none"/>
              </w:rPr>
            </w:pPr>
          </w:p>
        </w:tc>
        <w:tc>
          <w:tcPr>
            <w:tcW w:w="993" w:type="dxa"/>
            <w:tcBorders>
              <w:top w:val="single" w:color="auto" w:sz="4" w:space="0"/>
              <w:left w:val="nil"/>
              <w:bottom w:val="single" w:color="auto" w:sz="4" w:space="0"/>
              <w:right w:val="single" w:color="auto" w:sz="4" w:space="0"/>
            </w:tcBorders>
            <w:vAlign w:val="center"/>
          </w:tcPr>
          <w:p w14:paraId="4C4F9392">
            <w:pPr>
              <w:spacing w:line="360" w:lineRule="auto"/>
              <w:ind w:firstLine="561" w:firstLineChars="216"/>
              <w:rPr>
                <w:rFonts w:ascii="宋体" w:hAnsi="宋体" w:cs="宋体"/>
                <w:color w:val="auto"/>
                <w:sz w:val="26"/>
                <w:szCs w:val="28"/>
                <w:highlight w:val="none"/>
              </w:rPr>
            </w:pPr>
          </w:p>
        </w:tc>
      </w:tr>
      <w:tr w14:paraId="1F76CC4A">
        <w:tblPrEx>
          <w:tblCellMar>
            <w:top w:w="0" w:type="dxa"/>
            <w:left w:w="28" w:type="dxa"/>
            <w:bottom w:w="0" w:type="dxa"/>
            <w:right w:w="28" w:type="dxa"/>
          </w:tblCellMar>
        </w:tblPrEx>
        <w:trPr>
          <w:trHeight w:val="800" w:hRule="atLeast"/>
          <w:jc w:val="center"/>
        </w:trPr>
        <w:tc>
          <w:tcPr>
            <w:tcW w:w="951" w:type="dxa"/>
            <w:tcBorders>
              <w:top w:val="single" w:color="auto" w:sz="4" w:space="0"/>
              <w:left w:val="single" w:color="auto" w:sz="4" w:space="0"/>
              <w:bottom w:val="single" w:color="auto" w:sz="4" w:space="0"/>
              <w:right w:val="single" w:color="auto" w:sz="4" w:space="0"/>
            </w:tcBorders>
          </w:tcPr>
          <w:p w14:paraId="5AC1FA37">
            <w:pPr>
              <w:spacing w:line="360" w:lineRule="auto"/>
              <w:ind w:firstLine="561" w:firstLineChars="216"/>
              <w:rPr>
                <w:rFonts w:ascii="宋体" w:hAnsi="宋体" w:cs="宋体"/>
                <w:color w:val="auto"/>
                <w:sz w:val="26"/>
                <w:szCs w:val="28"/>
                <w:highlight w:val="none"/>
              </w:rPr>
            </w:pPr>
          </w:p>
        </w:tc>
        <w:tc>
          <w:tcPr>
            <w:tcW w:w="1203" w:type="dxa"/>
            <w:tcBorders>
              <w:top w:val="single" w:color="auto" w:sz="4" w:space="0"/>
              <w:left w:val="single" w:color="auto" w:sz="4" w:space="0"/>
              <w:bottom w:val="single" w:color="auto" w:sz="4" w:space="0"/>
              <w:right w:val="single" w:color="auto" w:sz="4" w:space="0"/>
            </w:tcBorders>
          </w:tcPr>
          <w:p w14:paraId="008564B1">
            <w:pPr>
              <w:spacing w:line="360" w:lineRule="auto"/>
              <w:ind w:firstLine="561" w:firstLineChars="216"/>
              <w:rPr>
                <w:rFonts w:ascii="宋体" w:hAnsi="宋体" w:cs="宋体"/>
                <w:color w:val="auto"/>
                <w:sz w:val="26"/>
                <w:szCs w:val="28"/>
                <w:highlight w:val="none"/>
              </w:rPr>
            </w:pPr>
          </w:p>
        </w:tc>
        <w:tc>
          <w:tcPr>
            <w:tcW w:w="2425" w:type="dxa"/>
            <w:tcBorders>
              <w:top w:val="single" w:color="auto" w:sz="4" w:space="0"/>
              <w:left w:val="single" w:color="auto" w:sz="4" w:space="0"/>
              <w:bottom w:val="single" w:color="auto" w:sz="4" w:space="0"/>
              <w:right w:val="single" w:color="auto" w:sz="4" w:space="0"/>
            </w:tcBorders>
            <w:vAlign w:val="center"/>
          </w:tcPr>
          <w:p w14:paraId="199C0900">
            <w:pPr>
              <w:spacing w:line="360" w:lineRule="auto"/>
              <w:ind w:firstLine="561" w:firstLineChars="216"/>
              <w:rPr>
                <w:rFonts w:ascii="宋体" w:hAnsi="宋体" w:cs="宋体"/>
                <w:color w:val="auto"/>
                <w:sz w:val="26"/>
                <w:szCs w:val="28"/>
                <w:highlight w:val="none"/>
              </w:rPr>
            </w:pPr>
          </w:p>
        </w:tc>
        <w:tc>
          <w:tcPr>
            <w:tcW w:w="2693" w:type="dxa"/>
            <w:tcBorders>
              <w:top w:val="single" w:color="auto" w:sz="4" w:space="0"/>
              <w:left w:val="nil"/>
              <w:bottom w:val="single" w:color="auto" w:sz="4" w:space="0"/>
              <w:right w:val="single" w:color="auto" w:sz="4" w:space="0"/>
            </w:tcBorders>
            <w:vAlign w:val="center"/>
          </w:tcPr>
          <w:p w14:paraId="66F9D7E2">
            <w:pPr>
              <w:spacing w:line="360" w:lineRule="auto"/>
              <w:ind w:firstLine="561" w:firstLineChars="216"/>
              <w:rPr>
                <w:rFonts w:ascii="宋体" w:hAnsi="宋体" w:cs="宋体"/>
                <w:color w:val="auto"/>
                <w:sz w:val="26"/>
                <w:szCs w:val="28"/>
                <w:highlight w:val="none"/>
              </w:rPr>
            </w:pPr>
          </w:p>
        </w:tc>
        <w:tc>
          <w:tcPr>
            <w:tcW w:w="1134" w:type="dxa"/>
            <w:tcBorders>
              <w:top w:val="single" w:color="auto" w:sz="4" w:space="0"/>
              <w:left w:val="nil"/>
              <w:bottom w:val="single" w:color="auto" w:sz="4" w:space="0"/>
              <w:right w:val="single" w:color="auto" w:sz="4" w:space="0"/>
            </w:tcBorders>
            <w:vAlign w:val="center"/>
          </w:tcPr>
          <w:p w14:paraId="43934125">
            <w:pPr>
              <w:spacing w:line="360" w:lineRule="auto"/>
              <w:ind w:firstLine="561" w:firstLineChars="216"/>
              <w:rPr>
                <w:rFonts w:ascii="宋体" w:hAnsi="宋体" w:cs="宋体"/>
                <w:color w:val="auto"/>
                <w:sz w:val="26"/>
                <w:szCs w:val="28"/>
                <w:highlight w:val="none"/>
              </w:rPr>
            </w:pPr>
          </w:p>
        </w:tc>
        <w:tc>
          <w:tcPr>
            <w:tcW w:w="993" w:type="dxa"/>
            <w:tcBorders>
              <w:top w:val="single" w:color="auto" w:sz="4" w:space="0"/>
              <w:left w:val="nil"/>
              <w:bottom w:val="single" w:color="auto" w:sz="4" w:space="0"/>
              <w:right w:val="single" w:color="auto" w:sz="4" w:space="0"/>
            </w:tcBorders>
            <w:vAlign w:val="center"/>
          </w:tcPr>
          <w:p w14:paraId="554B18D6">
            <w:pPr>
              <w:spacing w:line="360" w:lineRule="auto"/>
              <w:ind w:firstLine="561" w:firstLineChars="216"/>
              <w:rPr>
                <w:rFonts w:ascii="宋体" w:hAnsi="宋体" w:cs="宋体"/>
                <w:color w:val="auto"/>
                <w:sz w:val="26"/>
                <w:szCs w:val="28"/>
                <w:highlight w:val="none"/>
              </w:rPr>
            </w:pPr>
          </w:p>
        </w:tc>
      </w:tr>
      <w:tr w14:paraId="4910CA02">
        <w:tblPrEx>
          <w:tblCellMar>
            <w:top w:w="0" w:type="dxa"/>
            <w:left w:w="28" w:type="dxa"/>
            <w:bottom w:w="0" w:type="dxa"/>
            <w:right w:w="28" w:type="dxa"/>
          </w:tblCellMar>
        </w:tblPrEx>
        <w:trPr>
          <w:trHeight w:val="800" w:hRule="atLeast"/>
          <w:jc w:val="center"/>
        </w:trPr>
        <w:tc>
          <w:tcPr>
            <w:tcW w:w="951" w:type="dxa"/>
            <w:tcBorders>
              <w:top w:val="single" w:color="auto" w:sz="4" w:space="0"/>
              <w:left w:val="single" w:color="auto" w:sz="4" w:space="0"/>
              <w:bottom w:val="single" w:color="auto" w:sz="4" w:space="0"/>
              <w:right w:val="single" w:color="auto" w:sz="4" w:space="0"/>
            </w:tcBorders>
          </w:tcPr>
          <w:p w14:paraId="493B6B8F">
            <w:pPr>
              <w:spacing w:line="360" w:lineRule="auto"/>
              <w:ind w:firstLine="561" w:firstLineChars="216"/>
              <w:rPr>
                <w:rFonts w:ascii="宋体" w:hAnsi="宋体" w:cs="宋体"/>
                <w:color w:val="auto"/>
                <w:sz w:val="26"/>
                <w:szCs w:val="28"/>
                <w:highlight w:val="none"/>
              </w:rPr>
            </w:pPr>
          </w:p>
        </w:tc>
        <w:tc>
          <w:tcPr>
            <w:tcW w:w="1203" w:type="dxa"/>
            <w:tcBorders>
              <w:top w:val="single" w:color="auto" w:sz="4" w:space="0"/>
              <w:left w:val="single" w:color="auto" w:sz="4" w:space="0"/>
              <w:bottom w:val="single" w:color="auto" w:sz="4" w:space="0"/>
              <w:right w:val="single" w:color="auto" w:sz="4" w:space="0"/>
            </w:tcBorders>
          </w:tcPr>
          <w:p w14:paraId="35581379">
            <w:pPr>
              <w:spacing w:line="360" w:lineRule="auto"/>
              <w:ind w:firstLine="561" w:firstLineChars="216"/>
              <w:rPr>
                <w:rFonts w:ascii="宋体" w:hAnsi="宋体" w:cs="宋体"/>
                <w:color w:val="auto"/>
                <w:sz w:val="26"/>
                <w:szCs w:val="28"/>
                <w:highlight w:val="none"/>
              </w:rPr>
            </w:pPr>
          </w:p>
        </w:tc>
        <w:tc>
          <w:tcPr>
            <w:tcW w:w="2425" w:type="dxa"/>
            <w:tcBorders>
              <w:top w:val="single" w:color="auto" w:sz="4" w:space="0"/>
              <w:left w:val="single" w:color="auto" w:sz="4" w:space="0"/>
              <w:bottom w:val="single" w:color="auto" w:sz="4" w:space="0"/>
              <w:right w:val="single" w:color="auto" w:sz="4" w:space="0"/>
            </w:tcBorders>
            <w:vAlign w:val="center"/>
          </w:tcPr>
          <w:p w14:paraId="6B6FFA3E">
            <w:pPr>
              <w:spacing w:line="360" w:lineRule="auto"/>
              <w:ind w:firstLine="561" w:firstLineChars="216"/>
              <w:rPr>
                <w:rFonts w:ascii="宋体" w:hAnsi="宋体" w:cs="宋体"/>
                <w:color w:val="auto"/>
                <w:sz w:val="26"/>
                <w:szCs w:val="28"/>
                <w:highlight w:val="none"/>
              </w:rPr>
            </w:pPr>
          </w:p>
        </w:tc>
        <w:tc>
          <w:tcPr>
            <w:tcW w:w="2693" w:type="dxa"/>
            <w:tcBorders>
              <w:top w:val="single" w:color="auto" w:sz="4" w:space="0"/>
              <w:left w:val="nil"/>
              <w:bottom w:val="single" w:color="auto" w:sz="4" w:space="0"/>
              <w:right w:val="single" w:color="auto" w:sz="4" w:space="0"/>
            </w:tcBorders>
            <w:vAlign w:val="center"/>
          </w:tcPr>
          <w:p w14:paraId="307250B4">
            <w:pPr>
              <w:spacing w:line="360" w:lineRule="auto"/>
              <w:ind w:firstLine="561" w:firstLineChars="216"/>
              <w:rPr>
                <w:rFonts w:ascii="宋体" w:hAnsi="宋体" w:cs="宋体"/>
                <w:color w:val="auto"/>
                <w:sz w:val="26"/>
                <w:szCs w:val="28"/>
                <w:highlight w:val="none"/>
              </w:rPr>
            </w:pPr>
          </w:p>
        </w:tc>
        <w:tc>
          <w:tcPr>
            <w:tcW w:w="1134" w:type="dxa"/>
            <w:tcBorders>
              <w:top w:val="single" w:color="auto" w:sz="4" w:space="0"/>
              <w:left w:val="nil"/>
              <w:bottom w:val="single" w:color="auto" w:sz="4" w:space="0"/>
              <w:right w:val="single" w:color="auto" w:sz="4" w:space="0"/>
            </w:tcBorders>
            <w:vAlign w:val="center"/>
          </w:tcPr>
          <w:p w14:paraId="75B53DBF">
            <w:pPr>
              <w:spacing w:line="360" w:lineRule="auto"/>
              <w:ind w:firstLine="561" w:firstLineChars="216"/>
              <w:rPr>
                <w:rFonts w:ascii="宋体" w:hAnsi="宋体" w:cs="宋体"/>
                <w:color w:val="auto"/>
                <w:sz w:val="26"/>
                <w:szCs w:val="28"/>
                <w:highlight w:val="none"/>
              </w:rPr>
            </w:pPr>
          </w:p>
        </w:tc>
        <w:tc>
          <w:tcPr>
            <w:tcW w:w="993" w:type="dxa"/>
            <w:tcBorders>
              <w:top w:val="single" w:color="auto" w:sz="4" w:space="0"/>
              <w:left w:val="nil"/>
              <w:bottom w:val="single" w:color="auto" w:sz="4" w:space="0"/>
              <w:right w:val="single" w:color="auto" w:sz="4" w:space="0"/>
            </w:tcBorders>
            <w:vAlign w:val="center"/>
          </w:tcPr>
          <w:p w14:paraId="7E54FA5C">
            <w:pPr>
              <w:spacing w:line="360" w:lineRule="auto"/>
              <w:ind w:firstLine="561" w:firstLineChars="216"/>
              <w:rPr>
                <w:rFonts w:ascii="宋体" w:hAnsi="宋体" w:cs="宋体"/>
                <w:color w:val="auto"/>
                <w:sz w:val="26"/>
                <w:szCs w:val="28"/>
                <w:highlight w:val="none"/>
              </w:rPr>
            </w:pPr>
          </w:p>
        </w:tc>
      </w:tr>
      <w:tr w14:paraId="6252C6CA">
        <w:tblPrEx>
          <w:tblCellMar>
            <w:top w:w="0" w:type="dxa"/>
            <w:left w:w="28" w:type="dxa"/>
            <w:bottom w:w="0" w:type="dxa"/>
            <w:right w:w="28" w:type="dxa"/>
          </w:tblCellMar>
        </w:tblPrEx>
        <w:trPr>
          <w:trHeight w:val="800" w:hRule="atLeast"/>
          <w:jc w:val="center"/>
        </w:trPr>
        <w:tc>
          <w:tcPr>
            <w:tcW w:w="951" w:type="dxa"/>
            <w:tcBorders>
              <w:top w:val="single" w:color="auto" w:sz="4" w:space="0"/>
              <w:left w:val="single" w:color="auto" w:sz="4" w:space="0"/>
              <w:bottom w:val="single" w:color="auto" w:sz="4" w:space="0"/>
              <w:right w:val="single" w:color="auto" w:sz="4" w:space="0"/>
            </w:tcBorders>
          </w:tcPr>
          <w:p w14:paraId="7D94851B">
            <w:pPr>
              <w:spacing w:line="360" w:lineRule="auto"/>
              <w:ind w:firstLine="561" w:firstLineChars="216"/>
              <w:rPr>
                <w:rFonts w:ascii="宋体" w:hAnsi="宋体" w:cs="宋体"/>
                <w:color w:val="auto"/>
                <w:sz w:val="26"/>
                <w:szCs w:val="28"/>
                <w:highlight w:val="none"/>
              </w:rPr>
            </w:pPr>
          </w:p>
        </w:tc>
        <w:tc>
          <w:tcPr>
            <w:tcW w:w="1203" w:type="dxa"/>
            <w:tcBorders>
              <w:top w:val="single" w:color="auto" w:sz="4" w:space="0"/>
              <w:left w:val="single" w:color="auto" w:sz="4" w:space="0"/>
              <w:bottom w:val="single" w:color="auto" w:sz="4" w:space="0"/>
              <w:right w:val="single" w:color="auto" w:sz="4" w:space="0"/>
            </w:tcBorders>
          </w:tcPr>
          <w:p w14:paraId="79CD89B7">
            <w:pPr>
              <w:spacing w:line="360" w:lineRule="auto"/>
              <w:ind w:firstLine="561" w:firstLineChars="216"/>
              <w:rPr>
                <w:rFonts w:ascii="宋体" w:hAnsi="宋体" w:cs="宋体"/>
                <w:color w:val="auto"/>
                <w:sz w:val="26"/>
                <w:szCs w:val="28"/>
                <w:highlight w:val="none"/>
              </w:rPr>
            </w:pPr>
          </w:p>
        </w:tc>
        <w:tc>
          <w:tcPr>
            <w:tcW w:w="2425" w:type="dxa"/>
            <w:tcBorders>
              <w:top w:val="single" w:color="auto" w:sz="4" w:space="0"/>
              <w:left w:val="single" w:color="auto" w:sz="4" w:space="0"/>
              <w:bottom w:val="single" w:color="auto" w:sz="4" w:space="0"/>
              <w:right w:val="single" w:color="auto" w:sz="4" w:space="0"/>
            </w:tcBorders>
            <w:vAlign w:val="center"/>
          </w:tcPr>
          <w:p w14:paraId="285CFAEF">
            <w:pPr>
              <w:spacing w:line="360" w:lineRule="auto"/>
              <w:ind w:firstLine="561" w:firstLineChars="216"/>
              <w:rPr>
                <w:rFonts w:ascii="宋体" w:hAnsi="宋体" w:cs="宋体"/>
                <w:color w:val="auto"/>
                <w:sz w:val="26"/>
                <w:szCs w:val="28"/>
                <w:highlight w:val="none"/>
              </w:rPr>
            </w:pPr>
          </w:p>
        </w:tc>
        <w:tc>
          <w:tcPr>
            <w:tcW w:w="2693" w:type="dxa"/>
            <w:tcBorders>
              <w:top w:val="single" w:color="auto" w:sz="4" w:space="0"/>
              <w:left w:val="nil"/>
              <w:bottom w:val="single" w:color="auto" w:sz="4" w:space="0"/>
              <w:right w:val="single" w:color="auto" w:sz="4" w:space="0"/>
            </w:tcBorders>
            <w:vAlign w:val="center"/>
          </w:tcPr>
          <w:p w14:paraId="0A96A809">
            <w:pPr>
              <w:spacing w:line="360" w:lineRule="auto"/>
              <w:ind w:firstLine="561" w:firstLineChars="216"/>
              <w:rPr>
                <w:rFonts w:ascii="宋体" w:hAnsi="宋体" w:cs="宋体"/>
                <w:color w:val="auto"/>
                <w:sz w:val="26"/>
                <w:szCs w:val="28"/>
                <w:highlight w:val="none"/>
              </w:rPr>
            </w:pPr>
          </w:p>
        </w:tc>
        <w:tc>
          <w:tcPr>
            <w:tcW w:w="1134" w:type="dxa"/>
            <w:tcBorders>
              <w:top w:val="single" w:color="auto" w:sz="4" w:space="0"/>
              <w:left w:val="nil"/>
              <w:bottom w:val="single" w:color="auto" w:sz="4" w:space="0"/>
              <w:right w:val="single" w:color="auto" w:sz="4" w:space="0"/>
            </w:tcBorders>
            <w:vAlign w:val="center"/>
          </w:tcPr>
          <w:p w14:paraId="6FA6C7F6">
            <w:pPr>
              <w:spacing w:line="360" w:lineRule="auto"/>
              <w:ind w:firstLine="561" w:firstLineChars="216"/>
              <w:rPr>
                <w:rFonts w:ascii="宋体" w:hAnsi="宋体" w:cs="宋体"/>
                <w:color w:val="auto"/>
                <w:sz w:val="26"/>
                <w:szCs w:val="28"/>
                <w:highlight w:val="none"/>
              </w:rPr>
            </w:pPr>
          </w:p>
        </w:tc>
        <w:tc>
          <w:tcPr>
            <w:tcW w:w="993" w:type="dxa"/>
            <w:tcBorders>
              <w:top w:val="single" w:color="auto" w:sz="4" w:space="0"/>
              <w:left w:val="nil"/>
              <w:bottom w:val="single" w:color="auto" w:sz="4" w:space="0"/>
              <w:right w:val="single" w:color="auto" w:sz="4" w:space="0"/>
            </w:tcBorders>
            <w:vAlign w:val="center"/>
          </w:tcPr>
          <w:p w14:paraId="368A0766">
            <w:pPr>
              <w:spacing w:line="360" w:lineRule="auto"/>
              <w:ind w:firstLine="561" w:firstLineChars="216"/>
              <w:rPr>
                <w:rFonts w:ascii="宋体" w:hAnsi="宋体" w:cs="宋体"/>
                <w:color w:val="auto"/>
                <w:sz w:val="26"/>
                <w:szCs w:val="28"/>
                <w:highlight w:val="none"/>
              </w:rPr>
            </w:pPr>
          </w:p>
        </w:tc>
      </w:tr>
      <w:tr w14:paraId="4A9D2C4A">
        <w:tblPrEx>
          <w:tblCellMar>
            <w:top w:w="0" w:type="dxa"/>
            <w:left w:w="28" w:type="dxa"/>
            <w:bottom w:w="0" w:type="dxa"/>
            <w:right w:w="28" w:type="dxa"/>
          </w:tblCellMar>
        </w:tblPrEx>
        <w:trPr>
          <w:trHeight w:val="800" w:hRule="atLeast"/>
          <w:jc w:val="center"/>
        </w:trPr>
        <w:tc>
          <w:tcPr>
            <w:tcW w:w="951" w:type="dxa"/>
            <w:tcBorders>
              <w:top w:val="single" w:color="auto" w:sz="4" w:space="0"/>
              <w:left w:val="single" w:color="auto" w:sz="4" w:space="0"/>
              <w:bottom w:val="single" w:color="auto" w:sz="4" w:space="0"/>
              <w:right w:val="single" w:color="auto" w:sz="4" w:space="0"/>
            </w:tcBorders>
          </w:tcPr>
          <w:p w14:paraId="018FAC1F">
            <w:pPr>
              <w:spacing w:line="360" w:lineRule="auto"/>
              <w:ind w:firstLine="561" w:firstLineChars="216"/>
              <w:rPr>
                <w:rFonts w:ascii="宋体" w:hAnsi="宋体" w:cs="宋体"/>
                <w:color w:val="auto"/>
                <w:sz w:val="26"/>
                <w:szCs w:val="28"/>
                <w:highlight w:val="none"/>
              </w:rPr>
            </w:pPr>
          </w:p>
        </w:tc>
        <w:tc>
          <w:tcPr>
            <w:tcW w:w="1203" w:type="dxa"/>
            <w:tcBorders>
              <w:top w:val="single" w:color="auto" w:sz="4" w:space="0"/>
              <w:left w:val="single" w:color="auto" w:sz="4" w:space="0"/>
              <w:bottom w:val="single" w:color="auto" w:sz="4" w:space="0"/>
              <w:right w:val="single" w:color="auto" w:sz="4" w:space="0"/>
            </w:tcBorders>
          </w:tcPr>
          <w:p w14:paraId="15A7CE24">
            <w:pPr>
              <w:spacing w:line="360" w:lineRule="auto"/>
              <w:ind w:firstLine="561" w:firstLineChars="216"/>
              <w:rPr>
                <w:rFonts w:ascii="宋体" w:hAnsi="宋体" w:cs="宋体"/>
                <w:color w:val="auto"/>
                <w:sz w:val="26"/>
                <w:szCs w:val="28"/>
                <w:highlight w:val="none"/>
              </w:rPr>
            </w:pPr>
          </w:p>
        </w:tc>
        <w:tc>
          <w:tcPr>
            <w:tcW w:w="2425" w:type="dxa"/>
            <w:tcBorders>
              <w:top w:val="single" w:color="auto" w:sz="4" w:space="0"/>
              <w:left w:val="single" w:color="auto" w:sz="4" w:space="0"/>
              <w:bottom w:val="single" w:color="auto" w:sz="4" w:space="0"/>
              <w:right w:val="single" w:color="auto" w:sz="4" w:space="0"/>
            </w:tcBorders>
            <w:vAlign w:val="center"/>
          </w:tcPr>
          <w:p w14:paraId="2002940B">
            <w:pPr>
              <w:spacing w:line="360" w:lineRule="auto"/>
              <w:ind w:firstLine="561" w:firstLineChars="216"/>
              <w:rPr>
                <w:rFonts w:ascii="宋体" w:hAnsi="宋体" w:cs="宋体"/>
                <w:color w:val="auto"/>
                <w:sz w:val="26"/>
                <w:szCs w:val="28"/>
                <w:highlight w:val="none"/>
              </w:rPr>
            </w:pPr>
          </w:p>
        </w:tc>
        <w:tc>
          <w:tcPr>
            <w:tcW w:w="2693" w:type="dxa"/>
            <w:tcBorders>
              <w:top w:val="single" w:color="auto" w:sz="4" w:space="0"/>
              <w:left w:val="nil"/>
              <w:bottom w:val="single" w:color="auto" w:sz="4" w:space="0"/>
              <w:right w:val="single" w:color="auto" w:sz="4" w:space="0"/>
            </w:tcBorders>
            <w:vAlign w:val="center"/>
          </w:tcPr>
          <w:p w14:paraId="3AD6C4E2">
            <w:pPr>
              <w:spacing w:line="360" w:lineRule="auto"/>
              <w:ind w:firstLine="561" w:firstLineChars="216"/>
              <w:rPr>
                <w:rFonts w:ascii="宋体" w:hAnsi="宋体" w:cs="宋体"/>
                <w:color w:val="auto"/>
                <w:sz w:val="26"/>
                <w:szCs w:val="28"/>
                <w:highlight w:val="none"/>
              </w:rPr>
            </w:pPr>
          </w:p>
        </w:tc>
        <w:tc>
          <w:tcPr>
            <w:tcW w:w="1134" w:type="dxa"/>
            <w:tcBorders>
              <w:top w:val="single" w:color="auto" w:sz="4" w:space="0"/>
              <w:left w:val="nil"/>
              <w:bottom w:val="single" w:color="auto" w:sz="4" w:space="0"/>
              <w:right w:val="single" w:color="auto" w:sz="4" w:space="0"/>
            </w:tcBorders>
            <w:vAlign w:val="center"/>
          </w:tcPr>
          <w:p w14:paraId="5FE175C2">
            <w:pPr>
              <w:spacing w:line="360" w:lineRule="auto"/>
              <w:ind w:firstLine="561" w:firstLineChars="216"/>
              <w:rPr>
                <w:rFonts w:ascii="宋体" w:hAnsi="宋体" w:cs="宋体"/>
                <w:color w:val="auto"/>
                <w:sz w:val="26"/>
                <w:szCs w:val="28"/>
                <w:highlight w:val="none"/>
              </w:rPr>
            </w:pPr>
          </w:p>
        </w:tc>
        <w:tc>
          <w:tcPr>
            <w:tcW w:w="993" w:type="dxa"/>
            <w:tcBorders>
              <w:top w:val="single" w:color="auto" w:sz="4" w:space="0"/>
              <w:left w:val="nil"/>
              <w:bottom w:val="single" w:color="auto" w:sz="4" w:space="0"/>
              <w:right w:val="single" w:color="auto" w:sz="4" w:space="0"/>
            </w:tcBorders>
            <w:vAlign w:val="center"/>
          </w:tcPr>
          <w:p w14:paraId="747480C5">
            <w:pPr>
              <w:spacing w:line="360" w:lineRule="auto"/>
              <w:ind w:firstLine="561" w:firstLineChars="216"/>
              <w:rPr>
                <w:rFonts w:ascii="宋体" w:hAnsi="宋体" w:cs="宋体"/>
                <w:color w:val="auto"/>
                <w:sz w:val="26"/>
                <w:szCs w:val="28"/>
                <w:highlight w:val="none"/>
              </w:rPr>
            </w:pPr>
          </w:p>
        </w:tc>
      </w:tr>
    </w:tbl>
    <w:p w14:paraId="65C117D1">
      <w:pPr>
        <w:pStyle w:val="15"/>
        <w:adjustRightInd w:val="0"/>
        <w:snapToGrid w:val="0"/>
        <w:spacing w:after="0" w:line="360" w:lineRule="auto"/>
        <w:ind w:left="0" w:leftChars="0" w:firstLine="0" w:firstLineChars="0"/>
        <w:jc w:val="center"/>
        <w:rPr>
          <w:color w:val="auto"/>
          <w:highlight w:val="none"/>
        </w:rPr>
      </w:pPr>
    </w:p>
    <w:p w14:paraId="66E1AD2D">
      <w:pPr>
        <w:pStyle w:val="19"/>
        <w:spacing w:line="480" w:lineRule="auto"/>
        <w:rPr>
          <w:rFonts w:hAnsi="宋体"/>
          <w:color w:val="auto"/>
          <w:highlight w:val="none"/>
        </w:rPr>
      </w:pPr>
      <w:r>
        <w:rPr>
          <w:rFonts w:hint="eastAsia" w:hAnsi="宋体"/>
          <w:color w:val="auto"/>
          <w:highlight w:val="none"/>
        </w:rPr>
        <w:t>注：</w:t>
      </w:r>
    </w:p>
    <w:p w14:paraId="51626458">
      <w:pPr>
        <w:pStyle w:val="19"/>
        <w:snapToGrid w:val="0"/>
        <w:spacing w:line="360" w:lineRule="auto"/>
        <w:ind w:firstLine="480" w:firstLineChars="200"/>
        <w:rPr>
          <w:rFonts w:hAnsi="宋体"/>
          <w:color w:val="auto"/>
          <w:highlight w:val="none"/>
        </w:rPr>
      </w:pPr>
      <w:r>
        <w:rPr>
          <w:rFonts w:hint="eastAsia" w:hAnsi="宋体"/>
          <w:color w:val="auto"/>
          <w:highlight w:val="none"/>
        </w:rPr>
        <w:t>1、投标人应对照招标文件技术规格逐条做出说明，申明与技术规格条文的响应或偏差。对有具体参数要求的指标，投标投标人必须提供所投产品的具体参数值。</w:t>
      </w:r>
    </w:p>
    <w:p w14:paraId="4DE5B926">
      <w:pPr>
        <w:pStyle w:val="19"/>
        <w:snapToGrid w:val="0"/>
        <w:spacing w:line="360" w:lineRule="auto"/>
        <w:ind w:firstLine="480" w:firstLineChars="200"/>
        <w:rPr>
          <w:rFonts w:hAnsi="宋体"/>
          <w:color w:val="auto"/>
          <w:highlight w:val="none"/>
        </w:rPr>
      </w:pPr>
      <w:r>
        <w:rPr>
          <w:rFonts w:hint="eastAsia" w:hAnsi="宋体"/>
          <w:color w:val="auto"/>
          <w:highlight w:val="none"/>
        </w:rPr>
        <w:t>2、如果投标人承诺了没有偏差或未填报偏差项，如在评审时评标委员会认为仍存在偏差，则视为有意隐瞒事实，有可能导致废标。在本表中做出偏离说明的项目，投标人应当提供所投设备的具体参数值。</w:t>
      </w:r>
    </w:p>
    <w:p w14:paraId="032AD34E">
      <w:pPr>
        <w:pStyle w:val="19"/>
        <w:spacing w:line="480" w:lineRule="auto"/>
        <w:rPr>
          <w:rFonts w:hAnsi="宋体"/>
          <w:color w:val="auto"/>
          <w:highlight w:val="none"/>
        </w:rPr>
      </w:pPr>
    </w:p>
    <w:p w14:paraId="130115E2">
      <w:pPr>
        <w:pStyle w:val="9"/>
        <w:spacing w:line="360" w:lineRule="exact"/>
        <w:ind w:left="0" w:leftChars="0" w:right="-340" w:rightChars="-162" w:firstLine="0" w:firstLineChars="0"/>
        <w:rPr>
          <w:rFonts w:ascii="宋体" w:hAnsi="宋体" w:cs="宋体"/>
          <w:color w:val="auto"/>
          <w:sz w:val="24"/>
          <w:highlight w:val="none"/>
          <w:u w:val="single"/>
        </w:rPr>
      </w:pPr>
      <w:r>
        <w:rPr>
          <w:rFonts w:hint="eastAsia" w:ascii="宋体" w:hAnsi="宋体" w:cs="宋体"/>
          <w:color w:val="auto"/>
          <w:kern w:val="0"/>
          <w:sz w:val="24"/>
          <w:highlight w:val="none"/>
        </w:rPr>
        <w:t>投标供应商</w:t>
      </w:r>
      <w:r>
        <w:rPr>
          <w:rFonts w:hint="eastAsia" w:ascii="宋体" w:hAnsi="宋体" w:cs="宋体"/>
          <w:color w:val="auto"/>
          <w:sz w:val="24"/>
          <w:highlight w:val="none"/>
        </w:rPr>
        <w:t>：（电子签章）</w:t>
      </w:r>
    </w:p>
    <w:p w14:paraId="399B8745">
      <w:pPr>
        <w:pStyle w:val="9"/>
        <w:spacing w:line="360" w:lineRule="exact"/>
        <w:ind w:left="1" w:leftChars="0" w:right="-340" w:rightChars="-162" w:firstLine="2880" w:firstLineChars="1200"/>
        <w:rPr>
          <w:rFonts w:ascii="宋体" w:hAnsi="宋体" w:cs="宋体"/>
          <w:color w:val="auto"/>
          <w:sz w:val="24"/>
          <w:highlight w:val="none"/>
          <w:u w:val="single"/>
        </w:rPr>
      </w:pPr>
    </w:p>
    <w:p w14:paraId="196B3B4F">
      <w:pPr>
        <w:spacing w:line="460" w:lineRule="exact"/>
        <w:ind w:right="-57" w:rightChars="-27"/>
        <w:jc w:val="left"/>
        <w:rPr>
          <w:rFonts w:ascii="宋体" w:hAnsi="宋体" w:cs="宋体"/>
          <w:color w:val="auto"/>
          <w:sz w:val="24"/>
          <w:szCs w:val="24"/>
          <w:highlight w:val="none"/>
          <w:lang w:bidi="zh-CN"/>
        </w:rPr>
      </w:pPr>
      <w:r>
        <w:rPr>
          <w:rFonts w:hint="eastAsia" w:ascii="宋体" w:hAnsi="宋体" w:cs="宋体"/>
          <w:color w:val="auto"/>
          <w:sz w:val="24"/>
          <w:szCs w:val="24"/>
          <w:highlight w:val="none"/>
          <w:lang w:bidi="zh-CN"/>
        </w:rPr>
        <w:t>法定代表人或其委托代理人：（</w:t>
      </w:r>
      <w:r>
        <w:rPr>
          <w:rFonts w:hint="eastAsia" w:ascii="宋体" w:hAnsi="宋体" w:cs="宋体"/>
          <w:color w:val="auto"/>
          <w:sz w:val="24"/>
          <w:szCs w:val="24"/>
          <w:highlight w:val="none"/>
        </w:rPr>
        <w:t>电子签章或签字</w:t>
      </w:r>
      <w:r>
        <w:rPr>
          <w:rFonts w:hint="eastAsia" w:ascii="宋体" w:hAnsi="宋体" w:cs="宋体"/>
          <w:color w:val="auto"/>
          <w:sz w:val="24"/>
          <w:szCs w:val="24"/>
          <w:highlight w:val="none"/>
          <w:lang w:bidi="zh-CN"/>
        </w:rPr>
        <w:t>）</w:t>
      </w:r>
    </w:p>
    <w:p w14:paraId="53AFA6FF">
      <w:pPr>
        <w:pStyle w:val="9"/>
        <w:spacing w:line="360" w:lineRule="exact"/>
        <w:ind w:left="1" w:leftChars="0" w:right="-340" w:rightChars="-162" w:firstLine="480" w:firstLineChars="200"/>
        <w:rPr>
          <w:rFonts w:ascii="宋体" w:hAnsi="宋体" w:cs="宋体"/>
          <w:color w:val="auto"/>
          <w:sz w:val="24"/>
          <w:highlight w:val="none"/>
        </w:rPr>
      </w:pPr>
    </w:p>
    <w:p w14:paraId="4637AEF1">
      <w:pPr>
        <w:pStyle w:val="9"/>
        <w:spacing w:line="360" w:lineRule="exact"/>
        <w:ind w:left="0" w:leftChars="0" w:right="-340" w:rightChars="-162" w:firstLine="0" w:firstLineChars="0"/>
        <w:rPr>
          <w:rFonts w:ascii="宋体" w:hAnsi="宋体" w:cs="宋体"/>
          <w:b/>
          <w:bCs/>
          <w:color w:val="auto"/>
          <w:sz w:val="24"/>
          <w:highlight w:val="none"/>
        </w:rPr>
      </w:pPr>
      <w:r>
        <w:rPr>
          <w:rFonts w:hint="eastAsia" w:ascii="宋体" w:hAnsi="宋体" w:cs="宋体"/>
          <w:color w:val="auto"/>
          <w:sz w:val="24"/>
          <w:highlight w:val="none"/>
        </w:rPr>
        <w:t>日    期：年月日</w:t>
      </w:r>
    </w:p>
    <w:p w14:paraId="1AFE98C8">
      <w:pPr>
        <w:rPr>
          <w:color w:val="auto"/>
          <w:highlight w:val="none"/>
        </w:rPr>
      </w:pPr>
    </w:p>
    <w:p w14:paraId="6E4CC8CE">
      <w:pPr>
        <w:spacing w:line="520" w:lineRule="exact"/>
        <w:jc w:val="left"/>
        <w:rPr>
          <w:rFonts w:ascii="宋体" w:hAnsi="宋体" w:cs="宋体"/>
          <w:b/>
          <w:color w:val="auto"/>
          <w:sz w:val="28"/>
          <w:highlight w:val="none"/>
        </w:rPr>
      </w:pPr>
      <w:r>
        <w:rPr>
          <w:rFonts w:ascii="宋体" w:hAnsi="宋体"/>
          <w:b/>
          <w:bCs/>
          <w:color w:val="auto"/>
          <w:sz w:val="28"/>
          <w:szCs w:val="28"/>
          <w:highlight w:val="none"/>
        </w:rPr>
        <w:br w:type="page"/>
      </w:r>
      <w:bookmarkStart w:id="139" w:name="_Toc375041332"/>
      <w:bookmarkStart w:id="140" w:name="_Toc375040629"/>
      <w:bookmarkStart w:id="141" w:name="_Toc375040693"/>
      <w:bookmarkStart w:id="142" w:name="_Toc179632823"/>
      <w:bookmarkStart w:id="143" w:name="_Toc152045803"/>
      <w:bookmarkStart w:id="144" w:name="_Toc144974871"/>
      <w:bookmarkStart w:id="145" w:name="_Toc374947253"/>
      <w:bookmarkStart w:id="146" w:name="_Toc451761853"/>
      <w:bookmarkStart w:id="147" w:name="_Toc375041581"/>
      <w:bookmarkStart w:id="148" w:name="_Toc152042592"/>
      <w:bookmarkStart w:id="149" w:name="_Toc375041769"/>
      <w:bookmarkStart w:id="150" w:name="_Toc450119728"/>
      <w:bookmarkStart w:id="151" w:name="_Toc438548427"/>
    </w:p>
    <w:p w14:paraId="12439B8C">
      <w:pPr>
        <w:spacing w:beforeLines="100" w:afterLines="50" w:line="480" w:lineRule="exact"/>
        <w:ind w:right="-340" w:rightChars="-162"/>
        <w:jc w:val="center"/>
        <w:textAlignment w:val="center"/>
        <w:outlineLvl w:val="0"/>
        <w:rPr>
          <w:rFonts w:ascii="宋体" w:hAnsi="宋体" w:cs="宋体"/>
          <w:b/>
          <w:bCs/>
          <w:color w:val="auto"/>
          <w:sz w:val="32"/>
          <w:szCs w:val="32"/>
          <w:highlight w:val="none"/>
        </w:rPr>
      </w:pPr>
      <w:bookmarkStart w:id="152" w:name="_Toc25412"/>
      <w:r>
        <w:rPr>
          <w:rFonts w:hint="eastAsia" w:ascii="宋体" w:hAnsi="宋体" w:cs="宋体"/>
          <w:b/>
          <w:color w:val="auto"/>
          <w:sz w:val="28"/>
          <w:highlight w:val="none"/>
        </w:rPr>
        <w:t>七、</w:t>
      </w:r>
      <w:bookmarkEnd w:id="139"/>
      <w:bookmarkEnd w:id="140"/>
      <w:bookmarkEnd w:id="141"/>
      <w:bookmarkEnd w:id="142"/>
      <w:bookmarkEnd w:id="143"/>
      <w:bookmarkEnd w:id="144"/>
      <w:bookmarkEnd w:id="145"/>
      <w:bookmarkEnd w:id="146"/>
      <w:bookmarkEnd w:id="147"/>
      <w:bookmarkEnd w:id="148"/>
      <w:bookmarkEnd w:id="149"/>
      <w:bookmarkEnd w:id="150"/>
      <w:bookmarkEnd w:id="151"/>
      <w:r>
        <w:rPr>
          <w:rFonts w:hint="eastAsia" w:ascii="宋体" w:hAnsi="宋体" w:cs="宋体"/>
          <w:b/>
          <w:color w:val="auto"/>
          <w:sz w:val="28"/>
          <w:highlight w:val="none"/>
        </w:rPr>
        <w:t>项目</w:t>
      </w:r>
      <w:r>
        <w:rPr>
          <w:rFonts w:hint="eastAsia" w:ascii="宋体" w:hAnsi="宋体" w:cs="宋体"/>
          <w:b/>
          <w:bCs/>
          <w:color w:val="auto"/>
          <w:sz w:val="32"/>
          <w:szCs w:val="32"/>
          <w:highlight w:val="none"/>
        </w:rPr>
        <w:t>实施方案</w:t>
      </w:r>
      <w:bookmarkEnd w:id="152"/>
    </w:p>
    <w:p w14:paraId="7ECDBA5D">
      <w:pPr>
        <w:spacing w:line="480" w:lineRule="exact"/>
        <w:ind w:right="-340" w:rightChars="-162"/>
        <w:jc w:val="center"/>
        <w:textAlignment w:val="center"/>
        <w:rPr>
          <w:rFonts w:ascii="宋体" w:hAnsi="宋体" w:cs="宋体"/>
          <w:color w:val="auto"/>
          <w:sz w:val="24"/>
          <w:szCs w:val="21"/>
          <w:highlight w:val="none"/>
        </w:rPr>
      </w:pPr>
      <w:r>
        <w:rPr>
          <w:rFonts w:hint="eastAsia" w:ascii="宋体" w:hAnsi="宋体" w:cs="宋体"/>
          <w:color w:val="auto"/>
          <w:sz w:val="26"/>
          <w:szCs w:val="28"/>
          <w:highlight w:val="none"/>
        </w:rPr>
        <w:t>（投标供应商根据本项目实际情况编写）</w:t>
      </w:r>
    </w:p>
    <w:p w14:paraId="700A81CE">
      <w:pPr>
        <w:spacing w:line="480" w:lineRule="exact"/>
        <w:ind w:right="-340" w:rightChars="-162" w:firstLine="480" w:firstLineChars="200"/>
        <w:textAlignment w:val="center"/>
        <w:rPr>
          <w:rFonts w:ascii="宋体" w:hAnsi="宋体" w:cs="宋体"/>
          <w:color w:val="auto"/>
          <w:sz w:val="24"/>
          <w:szCs w:val="21"/>
          <w:highlight w:val="none"/>
        </w:rPr>
      </w:pPr>
    </w:p>
    <w:p w14:paraId="0F652950">
      <w:pPr>
        <w:spacing w:beforeLines="50" w:afterLines="100" w:line="480" w:lineRule="exact"/>
        <w:ind w:right="-340" w:rightChars="-162"/>
        <w:textAlignment w:val="center"/>
        <w:rPr>
          <w:rFonts w:ascii="宋体" w:hAnsi="宋体" w:cs="宋体"/>
          <w:color w:val="auto"/>
          <w:sz w:val="24"/>
          <w:highlight w:val="none"/>
        </w:rPr>
      </w:pPr>
    </w:p>
    <w:p w14:paraId="322CEC25">
      <w:pPr>
        <w:spacing w:line="480" w:lineRule="exact"/>
        <w:ind w:right="-340" w:rightChars="-162"/>
        <w:jc w:val="center"/>
        <w:textAlignment w:val="center"/>
        <w:outlineLvl w:val="0"/>
        <w:rPr>
          <w:rFonts w:ascii="宋体" w:hAnsi="宋体" w:cs="宋体"/>
          <w:b/>
          <w:color w:val="auto"/>
          <w:sz w:val="28"/>
          <w:szCs w:val="28"/>
          <w:highlight w:val="none"/>
        </w:rPr>
      </w:pPr>
      <w:r>
        <w:rPr>
          <w:rFonts w:hint="eastAsia" w:ascii="宋体" w:hAnsi="宋体" w:cs="宋体"/>
          <w:color w:val="auto"/>
          <w:sz w:val="24"/>
          <w:highlight w:val="none"/>
        </w:rPr>
        <w:br w:type="page"/>
      </w:r>
      <w:bookmarkStart w:id="153" w:name="_Toc8142"/>
      <w:r>
        <w:rPr>
          <w:rFonts w:hint="eastAsia" w:ascii="宋体" w:hAnsi="宋体" w:cs="宋体"/>
          <w:b/>
          <w:color w:val="auto"/>
          <w:sz w:val="28"/>
          <w:szCs w:val="28"/>
          <w:highlight w:val="none"/>
        </w:rPr>
        <w:t>八、投标供应商资格证明文件</w:t>
      </w:r>
      <w:bookmarkEnd w:id="153"/>
    </w:p>
    <w:p w14:paraId="1A87B278">
      <w:pPr>
        <w:jc w:val="center"/>
        <w:rPr>
          <w:b/>
          <w:color w:val="auto"/>
          <w:sz w:val="24"/>
          <w:highlight w:val="none"/>
        </w:rPr>
      </w:pPr>
      <w:r>
        <w:rPr>
          <w:rFonts w:hint="eastAsia"/>
          <w:b/>
          <w:color w:val="auto"/>
          <w:sz w:val="24"/>
          <w:highlight w:val="none"/>
        </w:rPr>
        <w:t>（一）投标供应商基本情况表</w:t>
      </w:r>
    </w:p>
    <w:tbl>
      <w:tblPr>
        <w:tblStyle w:val="16"/>
        <w:tblpPr w:leftFromText="180" w:rightFromText="180" w:vertAnchor="text" w:horzAnchor="page" w:tblpX="1516" w:tblpY="275"/>
        <w:tblOverlap w:val="never"/>
        <w:tblW w:w="91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1"/>
        <w:gridCol w:w="1418"/>
        <w:gridCol w:w="1588"/>
        <w:gridCol w:w="1701"/>
        <w:gridCol w:w="2452"/>
      </w:tblGrid>
      <w:tr w14:paraId="1D64FE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951" w:type="dxa"/>
            <w:tcBorders>
              <w:top w:val="single" w:color="auto" w:sz="4" w:space="0"/>
              <w:left w:val="single" w:color="auto" w:sz="4" w:space="0"/>
              <w:bottom w:val="single" w:color="auto" w:sz="4" w:space="0"/>
              <w:right w:val="single" w:color="auto" w:sz="4" w:space="0"/>
            </w:tcBorders>
            <w:vAlign w:val="center"/>
          </w:tcPr>
          <w:p w14:paraId="7B12C265">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投标供应商名称</w:t>
            </w:r>
          </w:p>
        </w:tc>
        <w:tc>
          <w:tcPr>
            <w:tcW w:w="7159" w:type="dxa"/>
            <w:gridSpan w:val="4"/>
            <w:tcBorders>
              <w:top w:val="single" w:color="auto" w:sz="4" w:space="0"/>
              <w:left w:val="single" w:color="auto" w:sz="4" w:space="0"/>
              <w:bottom w:val="single" w:color="auto" w:sz="4" w:space="0"/>
              <w:right w:val="single" w:color="auto" w:sz="4" w:space="0"/>
            </w:tcBorders>
            <w:vAlign w:val="center"/>
          </w:tcPr>
          <w:p w14:paraId="3F6A50F2">
            <w:pPr>
              <w:topLinePunct/>
              <w:spacing w:line="440" w:lineRule="exact"/>
              <w:ind w:firstLine="480"/>
              <w:jc w:val="center"/>
              <w:rPr>
                <w:rFonts w:ascii="宋体" w:hAnsi="宋体" w:cs="宋体"/>
                <w:color w:val="auto"/>
                <w:sz w:val="24"/>
                <w:szCs w:val="24"/>
                <w:highlight w:val="none"/>
              </w:rPr>
            </w:pPr>
          </w:p>
        </w:tc>
      </w:tr>
      <w:tr w14:paraId="6AFEBF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51" w:type="dxa"/>
            <w:tcBorders>
              <w:top w:val="single" w:color="auto" w:sz="4" w:space="0"/>
              <w:left w:val="single" w:color="auto" w:sz="4" w:space="0"/>
              <w:bottom w:val="single" w:color="auto" w:sz="4" w:space="0"/>
              <w:right w:val="single" w:color="auto" w:sz="4" w:space="0"/>
            </w:tcBorders>
            <w:vAlign w:val="center"/>
          </w:tcPr>
          <w:p w14:paraId="318EAAD2">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注册地址</w:t>
            </w:r>
          </w:p>
        </w:tc>
        <w:tc>
          <w:tcPr>
            <w:tcW w:w="3006" w:type="dxa"/>
            <w:gridSpan w:val="2"/>
            <w:tcBorders>
              <w:top w:val="single" w:color="auto" w:sz="4" w:space="0"/>
              <w:left w:val="single" w:color="auto" w:sz="4" w:space="0"/>
              <w:bottom w:val="single" w:color="auto" w:sz="4" w:space="0"/>
              <w:right w:val="single" w:color="auto" w:sz="4" w:space="0"/>
            </w:tcBorders>
            <w:vAlign w:val="center"/>
          </w:tcPr>
          <w:p w14:paraId="50D3F973">
            <w:pPr>
              <w:topLinePunct/>
              <w:spacing w:line="440" w:lineRule="exact"/>
              <w:ind w:firstLine="480"/>
              <w:jc w:val="center"/>
              <w:rPr>
                <w:rFonts w:ascii="宋体" w:hAnsi="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7CCF3A06">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邮政编码</w:t>
            </w:r>
          </w:p>
        </w:tc>
        <w:tc>
          <w:tcPr>
            <w:tcW w:w="2452" w:type="dxa"/>
            <w:tcBorders>
              <w:top w:val="single" w:color="auto" w:sz="4" w:space="0"/>
              <w:left w:val="single" w:color="auto" w:sz="4" w:space="0"/>
              <w:bottom w:val="single" w:color="auto" w:sz="4" w:space="0"/>
              <w:right w:val="single" w:color="auto" w:sz="4" w:space="0"/>
            </w:tcBorders>
            <w:vAlign w:val="center"/>
          </w:tcPr>
          <w:p w14:paraId="4385D26A">
            <w:pPr>
              <w:topLinePunct/>
              <w:spacing w:line="440" w:lineRule="exact"/>
              <w:ind w:firstLine="480"/>
              <w:jc w:val="center"/>
              <w:rPr>
                <w:rFonts w:ascii="宋体" w:hAnsi="宋体" w:cs="宋体"/>
                <w:color w:val="auto"/>
                <w:sz w:val="24"/>
                <w:szCs w:val="24"/>
                <w:highlight w:val="none"/>
              </w:rPr>
            </w:pPr>
          </w:p>
        </w:tc>
      </w:tr>
      <w:tr w14:paraId="481748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951" w:type="dxa"/>
            <w:vMerge w:val="restart"/>
            <w:tcBorders>
              <w:top w:val="single" w:color="auto" w:sz="4" w:space="0"/>
              <w:left w:val="single" w:color="auto" w:sz="4" w:space="0"/>
              <w:bottom w:val="single" w:color="auto" w:sz="4" w:space="0"/>
              <w:right w:val="single" w:color="auto" w:sz="4" w:space="0"/>
            </w:tcBorders>
            <w:vAlign w:val="center"/>
          </w:tcPr>
          <w:p w14:paraId="45DF89A2">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38D4895B">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联系人</w:t>
            </w:r>
          </w:p>
        </w:tc>
        <w:tc>
          <w:tcPr>
            <w:tcW w:w="1588" w:type="dxa"/>
            <w:tcBorders>
              <w:top w:val="single" w:color="auto" w:sz="4" w:space="0"/>
              <w:left w:val="single" w:color="auto" w:sz="4" w:space="0"/>
              <w:bottom w:val="single" w:color="auto" w:sz="4" w:space="0"/>
              <w:right w:val="single" w:color="auto" w:sz="4" w:space="0"/>
            </w:tcBorders>
            <w:vAlign w:val="center"/>
          </w:tcPr>
          <w:p w14:paraId="135956B4">
            <w:pPr>
              <w:topLinePunct/>
              <w:spacing w:line="440" w:lineRule="exact"/>
              <w:ind w:firstLine="480"/>
              <w:jc w:val="center"/>
              <w:rPr>
                <w:rFonts w:ascii="宋体" w:hAnsi="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22ABFF43">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电 话</w:t>
            </w:r>
          </w:p>
        </w:tc>
        <w:tc>
          <w:tcPr>
            <w:tcW w:w="2452" w:type="dxa"/>
            <w:tcBorders>
              <w:top w:val="single" w:color="auto" w:sz="4" w:space="0"/>
              <w:left w:val="single" w:color="auto" w:sz="4" w:space="0"/>
              <w:bottom w:val="single" w:color="auto" w:sz="4" w:space="0"/>
              <w:right w:val="single" w:color="auto" w:sz="4" w:space="0"/>
            </w:tcBorders>
            <w:vAlign w:val="center"/>
          </w:tcPr>
          <w:p w14:paraId="03532894">
            <w:pPr>
              <w:topLinePunct/>
              <w:spacing w:line="440" w:lineRule="exact"/>
              <w:ind w:firstLine="480"/>
              <w:jc w:val="center"/>
              <w:rPr>
                <w:rFonts w:ascii="宋体" w:hAnsi="宋体" w:cs="宋体"/>
                <w:color w:val="auto"/>
                <w:sz w:val="24"/>
                <w:szCs w:val="24"/>
                <w:highlight w:val="none"/>
              </w:rPr>
            </w:pPr>
          </w:p>
        </w:tc>
      </w:tr>
      <w:tr w14:paraId="0E60A5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951" w:type="dxa"/>
            <w:vMerge w:val="continue"/>
            <w:tcBorders>
              <w:top w:val="single" w:color="auto" w:sz="4" w:space="0"/>
              <w:left w:val="single" w:color="auto" w:sz="4" w:space="0"/>
              <w:bottom w:val="single" w:color="auto" w:sz="4" w:space="0"/>
              <w:right w:val="single" w:color="auto" w:sz="4" w:space="0"/>
            </w:tcBorders>
            <w:vAlign w:val="center"/>
          </w:tcPr>
          <w:p w14:paraId="22605DBA">
            <w:pPr>
              <w:topLinePunct/>
              <w:spacing w:line="440" w:lineRule="exact"/>
              <w:ind w:firstLine="480"/>
              <w:jc w:val="center"/>
              <w:rPr>
                <w:rFonts w:ascii="宋体" w:hAnsi="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76A9A031">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传 真</w:t>
            </w:r>
          </w:p>
        </w:tc>
        <w:tc>
          <w:tcPr>
            <w:tcW w:w="1588" w:type="dxa"/>
            <w:tcBorders>
              <w:top w:val="single" w:color="auto" w:sz="4" w:space="0"/>
              <w:left w:val="single" w:color="auto" w:sz="4" w:space="0"/>
              <w:bottom w:val="single" w:color="auto" w:sz="4" w:space="0"/>
              <w:right w:val="single" w:color="auto" w:sz="4" w:space="0"/>
            </w:tcBorders>
            <w:vAlign w:val="center"/>
          </w:tcPr>
          <w:p w14:paraId="3B2EC72A">
            <w:pPr>
              <w:topLinePunct/>
              <w:spacing w:line="440" w:lineRule="exact"/>
              <w:ind w:firstLine="480"/>
              <w:jc w:val="center"/>
              <w:rPr>
                <w:rFonts w:ascii="宋体" w:hAnsi="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17D576B8">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网 址</w:t>
            </w:r>
          </w:p>
        </w:tc>
        <w:tc>
          <w:tcPr>
            <w:tcW w:w="2452" w:type="dxa"/>
            <w:tcBorders>
              <w:top w:val="single" w:color="auto" w:sz="4" w:space="0"/>
              <w:left w:val="single" w:color="auto" w:sz="4" w:space="0"/>
              <w:bottom w:val="single" w:color="auto" w:sz="4" w:space="0"/>
              <w:right w:val="single" w:color="auto" w:sz="4" w:space="0"/>
            </w:tcBorders>
            <w:vAlign w:val="center"/>
          </w:tcPr>
          <w:p w14:paraId="57EB00A0">
            <w:pPr>
              <w:topLinePunct/>
              <w:spacing w:line="440" w:lineRule="exact"/>
              <w:ind w:firstLine="480"/>
              <w:jc w:val="center"/>
              <w:rPr>
                <w:rFonts w:ascii="宋体" w:hAnsi="宋体" w:cs="宋体"/>
                <w:color w:val="auto"/>
                <w:sz w:val="24"/>
                <w:szCs w:val="24"/>
                <w:highlight w:val="none"/>
              </w:rPr>
            </w:pPr>
          </w:p>
        </w:tc>
      </w:tr>
      <w:tr w14:paraId="53B2BD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951" w:type="dxa"/>
            <w:tcBorders>
              <w:top w:val="single" w:color="auto" w:sz="4" w:space="0"/>
              <w:left w:val="single" w:color="auto" w:sz="4" w:space="0"/>
              <w:bottom w:val="single" w:color="auto" w:sz="4" w:space="0"/>
              <w:right w:val="single" w:color="auto" w:sz="4" w:space="0"/>
            </w:tcBorders>
            <w:vAlign w:val="center"/>
          </w:tcPr>
          <w:p w14:paraId="203582FD">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法定代表人</w:t>
            </w:r>
          </w:p>
        </w:tc>
        <w:tc>
          <w:tcPr>
            <w:tcW w:w="1418" w:type="dxa"/>
            <w:tcBorders>
              <w:top w:val="single" w:color="auto" w:sz="4" w:space="0"/>
              <w:left w:val="single" w:color="auto" w:sz="4" w:space="0"/>
              <w:bottom w:val="single" w:color="auto" w:sz="4" w:space="0"/>
              <w:right w:val="single" w:color="auto" w:sz="4" w:space="0"/>
            </w:tcBorders>
            <w:vAlign w:val="center"/>
          </w:tcPr>
          <w:p w14:paraId="3910FB4C">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1588" w:type="dxa"/>
            <w:tcBorders>
              <w:top w:val="single" w:color="auto" w:sz="4" w:space="0"/>
              <w:left w:val="single" w:color="auto" w:sz="4" w:space="0"/>
              <w:bottom w:val="single" w:color="auto" w:sz="4" w:space="0"/>
              <w:right w:val="single" w:color="auto" w:sz="4" w:space="0"/>
            </w:tcBorders>
            <w:vAlign w:val="center"/>
          </w:tcPr>
          <w:p w14:paraId="10CF2C5E">
            <w:pPr>
              <w:topLinePunct/>
              <w:spacing w:line="440" w:lineRule="exact"/>
              <w:ind w:firstLine="480"/>
              <w:jc w:val="center"/>
              <w:rPr>
                <w:rFonts w:ascii="宋体" w:hAnsi="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4A72A32A">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从业人员</w:t>
            </w:r>
          </w:p>
        </w:tc>
        <w:tc>
          <w:tcPr>
            <w:tcW w:w="2452" w:type="dxa"/>
            <w:tcBorders>
              <w:top w:val="single" w:color="auto" w:sz="4" w:space="0"/>
              <w:left w:val="single" w:color="auto" w:sz="4" w:space="0"/>
              <w:bottom w:val="single" w:color="auto" w:sz="4" w:space="0"/>
              <w:right w:val="single" w:color="auto" w:sz="4" w:space="0"/>
            </w:tcBorders>
            <w:vAlign w:val="center"/>
          </w:tcPr>
          <w:p w14:paraId="14C53FCC">
            <w:pPr>
              <w:topLinePunct/>
              <w:spacing w:line="440" w:lineRule="exact"/>
              <w:ind w:firstLine="480"/>
              <w:jc w:val="center"/>
              <w:rPr>
                <w:rFonts w:ascii="宋体" w:hAnsi="宋体" w:cs="宋体"/>
                <w:color w:val="auto"/>
                <w:sz w:val="24"/>
                <w:szCs w:val="24"/>
                <w:highlight w:val="none"/>
              </w:rPr>
            </w:pPr>
          </w:p>
        </w:tc>
      </w:tr>
      <w:tr w14:paraId="42D751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51" w:type="dxa"/>
            <w:tcBorders>
              <w:top w:val="single" w:color="auto" w:sz="4" w:space="0"/>
              <w:left w:val="single" w:color="auto" w:sz="4" w:space="0"/>
              <w:bottom w:val="single" w:color="auto" w:sz="4" w:space="0"/>
              <w:right w:val="single" w:color="auto" w:sz="4" w:space="0"/>
            </w:tcBorders>
            <w:vAlign w:val="center"/>
          </w:tcPr>
          <w:p w14:paraId="6CD9E1D6">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成立时间</w:t>
            </w:r>
          </w:p>
        </w:tc>
        <w:tc>
          <w:tcPr>
            <w:tcW w:w="3006" w:type="dxa"/>
            <w:gridSpan w:val="2"/>
            <w:tcBorders>
              <w:top w:val="single" w:color="auto" w:sz="4" w:space="0"/>
              <w:left w:val="single" w:color="auto" w:sz="4" w:space="0"/>
              <w:bottom w:val="single" w:color="auto" w:sz="4" w:space="0"/>
              <w:right w:val="single" w:color="auto" w:sz="4" w:space="0"/>
            </w:tcBorders>
            <w:vAlign w:val="center"/>
          </w:tcPr>
          <w:p w14:paraId="712F9E5B">
            <w:pPr>
              <w:topLinePunct/>
              <w:spacing w:line="440" w:lineRule="exact"/>
              <w:ind w:firstLine="480"/>
              <w:jc w:val="center"/>
              <w:rPr>
                <w:rFonts w:ascii="宋体" w:hAnsi="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2B41EF83">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注册资金</w:t>
            </w:r>
          </w:p>
        </w:tc>
        <w:tc>
          <w:tcPr>
            <w:tcW w:w="2452" w:type="dxa"/>
            <w:tcBorders>
              <w:top w:val="single" w:color="auto" w:sz="4" w:space="0"/>
              <w:left w:val="single" w:color="auto" w:sz="4" w:space="0"/>
              <w:bottom w:val="single" w:color="auto" w:sz="4" w:space="0"/>
              <w:right w:val="single" w:color="auto" w:sz="4" w:space="0"/>
            </w:tcBorders>
            <w:vAlign w:val="center"/>
          </w:tcPr>
          <w:p w14:paraId="3ED97E36">
            <w:pPr>
              <w:topLinePunct/>
              <w:spacing w:line="440" w:lineRule="exact"/>
              <w:ind w:firstLine="1200" w:firstLineChars="500"/>
              <w:jc w:val="center"/>
              <w:rPr>
                <w:rFonts w:ascii="宋体" w:hAnsi="宋体" w:cs="宋体"/>
                <w:color w:val="auto"/>
                <w:sz w:val="24"/>
                <w:szCs w:val="24"/>
                <w:highlight w:val="none"/>
              </w:rPr>
            </w:pPr>
          </w:p>
        </w:tc>
      </w:tr>
      <w:tr w14:paraId="0FCAAA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951" w:type="dxa"/>
            <w:tcBorders>
              <w:top w:val="single" w:color="auto" w:sz="4" w:space="0"/>
              <w:left w:val="single" w:color="auto" w:sz="4" w:space="0"/>
              <w:bottom w:val="single" w:color="auto" w:sz="4" w:space="0"/>
              <w:right w:val="single" w:color="auto" w:sz="4" w:space="0"/>
            </w:tcBorders>
            <w:vAlign w:val="center"/>
          </w:tcPr>
          <w:p w14:paraId="383E9587">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营业执照号</w:t>
            </w:r>
          </w:p>
        </w:tc>
        <w:tc>
          <w:tcPr>
            <w:tcW w:w="7159" w:type="dxa"/>
            <w:gridSpan w:val="4"/>
            <w:tcBorders>
              <w:top w:val="single" w:color="auto" w:sz="4" w:space="0"/>
              <w:left w:val="single" w:color="auto" w:sz="4" w:space="0"/>
              <w:bottom w:val="single" w:color="auto" w:sz="4" w:space="0"/>
              <w:right w:val="single" w:color="auto" w:sz="4" w:space="0"/>
            </w:tcBorders>
            <w:vAlign w:val="center"/>
          </w:tcPr>
          <w:p w14:paraId="31749AC6">
            <w:pPr>
              <w:topLinePunct/>
              <w:spacing w:line="440" w:lineRule="exact"/>
              <w:ind w:firstLine="480"/>
              <w:jc w:val="center"/>
              <w:rPr>
                <w:rFonts w:ascii="宋体" w:hAnsi="宋体" w:cs="宋体"/>
                <w:color w:val="auto"/>
                <w:sz w:val="24"/>
                <w:szCs w:val="24"/>
                <w:highlight w:val="none"/>
              </w:rPr>
            </w:pPr>
          </w:p>
        </w:tc>
      </w:tr>
      <w:tr w14:paraId="1719FE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951" w:type="dxa"/>
            <w:tcBorders>
              <w:top w:val="single" w:color="auto" w:sz="4" w:space="0"/>
              <w:left w:val="single" w:color="auto" w:sz="4" w:space="0"/>
              <w:bottom w:val="single" w:color="auto" w:sz="4" w:space="0"/>
              <w:right w:val="single" w:color="auto" w:sz="4" w:space="0"/>
            </w:tcBorders>
            <w:vAlign w:val="center"/>
          </w:tcPr>
          <w:p w14:paraId="3686DEA9">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开户银行</w:t>
            </w:r>
          </w:p>
        </w:tc>
        <w:tc>
          <w:tcPr>
            <w:tcW w:w="7159" w:type="dxa"/>
            <w:gridSpan w:val="4"/>
            <w:tcBorders>
              <w:top w:val="single" w:color="auto" w:sz="4" w:space="0"/>
              <w:left w:val="single" w:color="auto" w:sz="4" w:space="0"/>
              <w:bottom w:val="single" w:color="auto" w:sz="4" w:space="0"/>
              <w:right w:val="single" w:color="auto" w:sz="4" w:space="0"/>
            </w:tcBorders>
            <w:vAlign w:val="center"/>
          </w:tcPr>
          <w:p w14:paraId="55B9ED75">
            <w:pPr>
              <w:topLinePunct/>
              <w:spacing w:line="440" w:lineRule="exact"/>
              <w:ind w:firstLine="480"/>
              <w:jc w:val="center"/>
              <w:rPr>
                <w:rFonts w:ascii="宋体" w:hAnsi="宋体" w:cs="宋体"/>
                <w:color w:val="auto"/>
                <w:sz w:val="24"/>
                <w:szCs w:val="24"/>
                <w:highlight w:val="none"/>
              </w:rPr>
            </w:pPr>
          </w:p>
        </w:tc>
      </w:tr>
      <w:tr w14:paraId="7D4905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951" w:type="dxa"/>
            <w:tcBorders>
              <w:top w:val="single" w:color="auto" w:sz="4" w:space="0"/>
              <w:left w:val="single" w:color="auto" w:sz="4" w:space="0"/>
              <w:bottom w:val="single" w:color="auto" w:sz="4" w:space="0"/>
              <w:right w:val="single" w:color="auto" w:sz="4" w:space="0"/>
            </w:tcBorders>
            <w:vAlign w:val="center"/>
          </w:tcPr>
          <w:p w14:paraId="3610540C">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账号</w:t>
            </w:r>
          </w:p>
        </w:tc>
        <w:tc>
          <w:tcPr>
            <w:tcW w:w="7159" w:type="dxa"/>
            <w:gridSpan w:val="4"/>
            <w:tcBorders>
              <w:top w:val="single" w:color="auto" w:sz="4" w:space="0"/>
              <w:left w:val="single" w:color="auto" w:sz="4" w:space="0"/>
              <w:bottom w:val="single" w:color="auto" w:sz="4" w:space="0"/>
              <w:right w:val="single" w:color="auto" w:sz="4" w:space="0"/>
            </w:tcBorders>
            <w:vAlign w:val="center"/>
          </w:tcPr>
          <w:p w14:paraId="312004B4">
            <w:pPr>
              <w:topLinePunct/>
              <w:spacing w:line="440" w:lineRule="exact"/>
              <w:ind w:firstLine="480"/>
              <w:jc w:val="center"/>
              <w:rPr>
                <w:rFonts w:ascii="宋体" w:hAnsi="宋体" w:cs="宋体"/>
                <w:color w:val="auto"/>
                <w:sz w:val="24"/>
                <w:szCs w:val="24"/>
                <w:highlight w:val="none"/>
              </w:rPr>
            </w:pPr>
          </w:p>
        </w:tc>
      </w:tr>
      <w:tr w14:paraId="451A0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51" w:type="dxa"/>
            <w:tcBorders>
              <w:top w:val="single" w:color="auto" w:sz="4" w:space="0"/>
              <w:left w:val="single" w:color="auto" w:sz="4" w:space="0"/>
              <w:right w:val="single" w:color="auto" w:sz="4" w:space="0"/>
            </w:tcBorders>
            <w:vAlign w:val="center"/>
          </w:tcPr>
          <w:p w14:paraId="44FE593B">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经营范围</w:t>
            </w:r>
          </w:p>
        </w:tc>
        <w:tc>
          <w:tcPr>
            <w:tcW w:w="7159" w:type="dxa"/>
            <w:gridSpan w:val="4"/>
            <w:tcBorders>
              <w:top w:val="single" w:color="auto" w:sz="4" w:space="0"/>
              <w:left w:val="single" w:color="auto" w:sz="4" w:space="0"/>
              <w:right w:val="single" w:color="auto" w:sz="4" w:space="0"/>
            </w:tcBorders>
            <w:vAlign w:val="center"/>
          </w:tcPr>
          <w:p w14:paraId="2CE4B0EA">
            <w:pPr>
              <w:topLinePunct/>
              <w:spacing w:line="440" w:lineRule="exact"/>
              <w:ind w:firstLine="480"/>
              <w:jc w:val="center"/>
              <w:rPr>
                <w:rFonts w:ascii="宋体" w:hAnsi="宋体" w:cs="宋体"/>
                <w:color w:val="auto"/>
                <w:sz w:val="24"/>
                <w:szCs w:val="24"/>
                <w:highlight w:val="none"/>
              </w:rPr>
            </w:pPr>
          </w:p>
          <w:p w14:paraId="209320FD">
            <w:pPr>
              <w:topLinePunct/>
              <w:spacing w:line="440" w:lineRule="exact"/>
              <w:ind w:firstLine="480"/>
              <w:jc w:val="center"/>
              <w:rPr>
                <w:rFonts w:ascii="宋体" w:hAnsi="宋体" w:cs="宋体"/>
                <w:color w:val="auto"/>
                <w:sz w:val="24"/>
                <w:szCs w:val="24"/>
                <w:highlight w:val="none"/>
              </w:rPr>
            </w:pPr>
          </w:p>
          <w:p w14:paraId="1A5D5E87">
            <w:pPr>
              <w:topLinePunct/>
              <w:spacing w:line="440" w:lineRule="exact"/>
              <w:ind w:firstLine="480"/>
              <w:jc w:val="center"/>
              <w:rPr>
                <w:rFonts w:ascii="宋体" w:hAnsi="宋体" w:cs="宋体"/>
                <w:color w:val="auto"/>
                <w:sz w:val="24"/>
                <w:szCs w:val="24"/>
                <w:highlight w:val="none"/>
              </w:rPr>
            </w:pPr>
          </w:p>
          <w:p w14:paraId="747AE569">
            <w:pPr>
              <w:topLinePunct/>
              <w:spacing w:line="440" w:lineRule="exact"/>
              <w:ind w:firstLine="480"/>
              <w:jc w:val="center"/>
              <w:rPr>
                <w:rFonts w:ascii="宋体" w:hAnsi="宋体" w:cs="宋体"/>
                <w:color w:val="auto"/>
                <w:sz w:val="24"/>
                <w:szCs w:val="24"/>
                <w:highlight w:val="none"/>
              </w:rPr>
            </w:pPr>
          </w:p>
          <w:p w14:paraId="3D8D3B97">
            <w:pPr>
              <w:topLinePunct/>
              <w:spacing w:line="440" w:lineRule="exact"/>
              <w:ind w:firstLine="480"/>
              <w:jc w:val="center"/>
              <w:rPr>
                <w:rFonts w:ascii="宋体" w:hAnsi="宋体" w:cs="宋体"/>
                <w:color w:val="auto"/>
                <w:sz w:val="24"/>
                <w:szCs w:val="24"/>
                <w:highlight w:val="none"/>
              </w:rPr>
            </w:pPr>
          </w:p>
          <w:p w14:paraId="468237E5">
            <w:pPr>
              <w:topLinePunct/>
              <w:spacing w:line="440" w:lineRule="exact"/>
              <w:ind w:firstLine="480"/>
              <w:jc w:val="center"/>
              <w:rPr>
                <w:rFonts w:ascii="宋体" w:hAnsi="宋体" w:cs="宋体"/>
                <w:color w:val="auto"/>
                <w:sz w:val="24"/>
                <w:szCs w:val="24"/>
                <w:highlight w:val="none"/>
              </w:rPr>
            </w:pPr>
          </w:p>
          <w:p w14:paraId="490C6740">
            <w:pPr>
              <w:topLinePunct/>
              <w:spacing w:line="440" w:lineRule="exact"/>
              <w:ind w:firstLine="480"/>
              <w:jc w:val="center"/>
              <w:rPr>
                <w:rFonts w:ascii="宋体" w:hAnsi="宋体" w:cs="宋体"/>
                <w:color w:val="auto"/>
                <w:sz w:val="24"/>
                <w:szCs w:val="24"/>
                <w:highlight w:val="none"/>
              </w:rPr>
            </w:pPr>
          </w:p>
        </w:tc>
      </w:tr>
      <w:tr w14:paraId="10EB5C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951" w:type="dxa"/>
            <w:tcBorders>
              <w:top w:val="single" w:color="auto" w:sz="4" w:space="0"/>
              <w:left w:val="single" w:color="auto" w:sz="4" w:space="0"/>
              <w:bottom w:val="single" w:color="auto" w:sz="4" w:space="0"/>
              <w:right w:val="single" w:color="auto" w:sz="4" w:space="0"/>
            </w:tcBorders>
            <w:vAlign w:val="center"/>
          </w:tcPr>
          <w:p w14:paraId="0AD3AC7F">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c>
          <w:tcPr>
            <w:tcW w:w="7159" w:type="dxa"/>
            <w:gridSpan w:val="4"/>
            <w:tcBorders>
              <w:top w:val="single" w:color="auto" w:sz="4" w:space="0"/>
              <w:left w:val="single" w:color="auto" w:sz="4" w:space="0"/>
              <w:bottom w:val="single" w:color="auto" w:sz="4" w:space="0"/>
              <w:right w:val="single" w:color="auto" w:sz="4" w:space="0"/>
            </w:tcBorders>
            <w:vAlign w:val="center"/>
          </w:tcPr>
          <w:p w14:paraId="68F73281">
            <w:pPr>
              <w:topLinePunct/>
              <w:spacing w:line="440" w:lineRule="exact"/>
              <w:ind w:firstLine="480"/>
              <w:jc w:val="center"/>
              <w:rPr>
                <w:rFonts w:ascii="宋体" w:hAnsi="宋体" w:cs="宋体"/>
                <w:color w:val="auto"/>
                <w:sz w:val="24"/>
                <w:szCs w:val="24"/>
                <w:highlight w:val="none"/>
              </w:rPr>
            </w:pPr>
          </w:p>
        </w:tc>
      </w:tr>
    </w:tbl>
    <w:p w14:paraId="445D7114">
      <w:pPr>
        <w:tabs>
          <w:tab w:val="left" w:pos="709"/>
          <w:tab w:val="left" w:pos="851"/>
        </w:tabs>
        <w:spacing w:line="440" w:lineRule="exact"/>
        <w:ind w:firstLine="482" w:firstLineChars="200"/>
        <w:rPr>
          <w:rFonts w:ascii="宋体" w:hAnsi="宋体" w:cs="宋体"/>
          <w:b/>
          <w:color w:val="auto"/>
          <w:sz w:val="24"/>
          <w:szCs w:val="24"/>
          <w:highlight w:val="none"/>
        </w:rPr>
      </w:pPr>
    </w:p>
    <w:p w14:paraId="2A4E011D">
      <w:pPr>
        <w:jc w:val="center"/>
        <w:rPr>
          <w:rFonts w:ascii="宋体" w:hAnsi="宋体" w:cs="宋体"/>
          <w:b/>
          <w:bCs/>
          <w:color w:val="auto"/>
          <w:szCs w:val="21"/>
          <w:highlight w:val="none"/>
        </w:rPr>
      </w:pPr>
      <w:r>
        <w:rPr>
          <w:rFonts w:hint="eastAsia" w:ascii="宋体" w:hAnsi="宋体" w:cs="宋体"/>
          <w:b/>
          <w:bCs/>
          <w:color w:val="auto"/>
          <w:szCs w:val="21"/>
          <w:highlight w:val="none"/>
        </w:rPr>
        <w:br w:type="page"/>
      </w:r>
      <w:bookmarkStart w:id="154" w:name="_Hlk86328926"/>
    </w:p>
    <w:p w14:paraId="5D4D01D3">
      <w:pPr>
        <w:jc w:val="center"/>
        <w:rPr>
          <w:rFonts w:ascii="宋体" w:hAnsi="宋体" w:cs="宋体"/>
          <w:b/>
          <w:bCs/>
          <w:color w:val="auto"/>
          <w:sz w:val="24"/>
          <w:highlight w:val="none"/>
        </w:rPr>
      </w:pPr>
      <w:r>
        <w:rPr>
          <w:rFonts w:hint="eastAsia" w:ascii="宋体" w:hAnsi="宋体" w:cs="宋体"/>
          <w:b/>
          <w:bCs/>
          <w:color w:val="auto"/>
          <w:sz w:val="28"/>
          <w:szCs w:val="32"/>
          <w:highlight w:val="none"/>
        </w:rPr>
        <w:t>（二）投标供应商资格证明文件</w:t>
      </w:r>
    </w:p>
    <w:p w14:paraId="7E03F2C7">
      <w:pPr>
        <w:rPr>
          <w:rFonts w:ascii="宋体" w:hAnsi="宋体" w:cs="楷体_GB2312"/>
          <w:color w:val="auto"/>
          <w:sz w:val="24"/>
          <w:highlight w:val="none"/>
        </w:rPr>
      </w:pPr>
      <w:r>
        <w:rPr>
          <w:rFonts w:hint="eastAsia" w:ascii="宋体" w:hAnsi="宋体" w:cs="楷体_GB2312"/>
          <w:color w:val="auto"/>
          <w:sz w:val="24"/>
          <w:highlight w:val="none"/>
        </w:rPr>
        <w:t>附以下证件、证明原件的扫描件（扫描件须清晰可辨）：</w:t>
      </w:r>
    </w:p>
    <w:p w14:paraId="79F28C50">
      <w:pPr>
        <w:rPr>
          <w:rFonts w:ascii="宋体" w:hAnsi="宋体" w:cs="楷体_GB2312"/>
          <w:color w:val="auto"/>
          <w:sz w:val="24"/>
          <w:highlight w:val="none"/>
        </w:rPr>
      </w:pPr>
    </w:p>
    <w:p w14:paraId="6BCE818B">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1、符合《中华人民共和国政府采购法》第二十二条规定条件（提供相关证明资料或承诺书）；</w:t>
      </w:r>
    </w:p>
    <w:p w14:paraId="4720E545">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2</w:t>
      </w:r>
      <w:r>
        <w:rPr>
          <w:rFonts w:hint="eastAsia" w:asciiTheme="minorEastAsia" w:hAnsiTheme="minorEastAsia" w:eastAsiaTheme="minorEastAsia" w:cstheme="minorEastAsia"/>
          <w:bCs/>
          <w:color w:val="auto"/>
          <w:sz w:val="24"/>
          <w:szCs w:val="24"/>
          <w:highlight w:val="none"/>
        </w:rPr>
        <w:t>、落实政府采购政策要求：本项目支持中小型企业发展政策（残疾人福利性企业、监狱企业视同小微企业）、优先采购节能环保产品等政府采购政策。</w:t>
      </w:r>
    </w:p>
    <w:p w14:paraId="43E683C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Cs/>
          <w:i w:val="0"/>
          <w:iCs w:val="0"/>
          <w:caps w:val="0"/>
          <w:color w:val="auto"/>
          <w:spacing w:val="0"/>
          <w:sz w:val="24"/>
          <w:szCs w:val="24"/>
          <w:highlight w:val="none"/>
        </w:rPr>
      </w:pPr>
      <w:r>
        <w:rPr>
          <w:rFonts w:hint="eastAsia" w:asciiTheme="minorEastAsia" w:hAnsiTheme="minorEastAsia" w:eastAsiaTheme="minorEastAsia" w:cstheme="minorEastAsia"/>
          <w:bCs/>
          <w:i w:val="0"/>
          <w:iCs w:val="0"/>
          <w:caps w:val="0"/>
          <w:color w:val="auto"/>
          <w:spacing w:val="0"/>
          <w:kern w:val="2"/>
          <w:sz w:val="24"/>
          <w:szCs w:val="24"/>
          <w:highlight w:val="none"/>
          <w:lang w:val="en-US" w:eastAsia="zh-CN" w:bidi="ar"/>
        </w:rPr>
        <w:t>3、本项目的特定资格要求</w:t>
      </w:r>
    </w:p>
    <w:p w14:paraId="11F67E3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i w:val="0"/>
          <w:iCs w:val="0"/>
          <w:caps w:val="0"/>
          <w:color w:val="auto"/>
          <w:spacing w:val="0"/>
          <w:kern w:val="2"/>
          <w:sz w:val="24"/>
          <w:szCs w:val="24"/>
          <w:highlight w:val="none"/>
          <w:lang w:val="en-US" w:eastAsia="zh-CN" w:bidi="ar"/>
        </w:rPr>
        <w:t>3.1</w:t>
      </w:r>
      <w:r>
        <w:rPr>
          <w:rFonts w:hint="eastAsia" w:asciiTheme="minorEastAsia" w:hAnsiTheme="minorEastAsia" w:eastAsiaTheme="minorEastAsia" w:cstheme="minorEastAsia"/>
          <w:bCs/>
          <w:color w:val="auto"/>
          <w:sz w:val="24"/>
          <w:szCs w:val="24"/>
          <w:highlight w:val="none"/>
        </w:rPr>
        <w:t>投标供应商须具有独立法人资格</w:t>
      </w:r>
      <w:r>
        <w:rPr>
          <w:rFonts w:hint="eastAsia" w:asciiTheme="minorEastAsia" w:hAnsiTheme="minorEastAsia" w:eastAsiaTheme="minorEastAsia" w:cstheme="minorEastAsia"/>
          <w:color w:val="auto"/>
          <w:sz w:val="24"/>
          <w:szCs w:val="24"/>
          <w:highlight w:val="none"/>
        </w:rPr>
        <w:t>，同时具有有效的营业执照、税务登记证、组织机构代码证或三证合一的营业执照；</w:t>
      </w:r>
    </w:p>
    <w:p w14:paraId="0D87030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投标</w:t>
      </w:r>
      <w:r>
        <w:rPr>
          <w:rFonts w:hint="eastAsia" w:asciiTheme="minorEastAsia" w:hAnsiTheme="minorEastAsia" w:eastAsiaTheme="minorEastAsia" w:cstheme="minorEastAsia"/>
          <w:bCs/>
          <w:color w:val="auto"/>
          <w:sz w:val="24"/>
          <w:szCs w:val="24"/>
          <w:highlight w:val="none"/>
        </w:rPr>
        <w:t>供应商应具有履行合同所必须的设备、人员和专业技术能力（承诺书格式自拟）；</w:t>
      </w:r>
    </w:p>
    <w:p w14:paraId="47706602">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3.3</w:t>
      </w:r>
      <w:r>
        <w:rPr>
          <w:rFonts w:hint="eastAsia" w:asciiTheme="minorEastAsia" w:hAnsiTheme="minorEastAsia" w:eastAsiaTheme="minorEastAsia" w:cstheme="minorEastAsia"/>
          <w:color w:val="auto"/>
          <w:sz w:val="24"/>
          <w:szCs w:val="24"/>
          <w:highlight w:val="none"/>
        </w:rPr>
        <w:t>投标供应商自成立以来无商业贿赂及无不正当竞争行为（提供承诺书，</w:t>
      </w:r>
      <w:r>
        <w:rPr>
          <w:rFonts w:hint="eastAsia" w:asciiTheme="minorEastAsia" w:hAnsiTheme="minorEastAsia" w:eastAsiaTheme="minorEastAsia" w:cstheme="minorEastAsia"/>
          <w:bCs/>
          <w:color w:val="auto"/>
          <w:sz w:val="24"/>
          <w:szCs w:val="24"/>
          <w:highlight w:val="none"/>
        </w:rPr>
        <w:t>承诺书格式自拟</w:t>
      </w:r>
      <w:r>
        <w:rPr>
          <w:rFonts w:hint="eastAsia" w:asciiTheme="minorEastAsia" w:hAnsiTheme="minorEastAsia" w:eastAsiaTheme="minorEastAsia" w:cstheme="minorEastAsia"/>
          <w:color w:val="auto"/>
          <w:sz w:val="24"/>
          <w:szCs w:val="24"/>
          <w:highlight w:val="none"/>
        </w:rPr>
        <w:t>）；</w:t>
      </w:r>
    </w:p>
    <w:p w14:paraId="64F4F1D6">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3.4</w:t>
      </w:r>
      <w:r>
        <w:rPr>
          <w:rFonts w:hint="eastAsia" w:asciiTheme="minorEastAsia" w:hAnsiTheme="minorEastAsia" w:eastAsiaTheme="minorEastAsia" w:cstheme="minorEastAsia"/>
          <w:color w:val="auto"/>
          <w:sz w:val="24"/>
          <w:szCs w:val="24"/>
          <w:highlight w:val="none"/>
        </w:rPr>
        <w:t>提供投标供应商企业、法定代表人无行贿犯罪记录，在中国裁判文书网查询（提供公告后网页查询截图）或投标供应商自行承诺；</w:t>
      </w:r>
    </w:p>
    <w:p w14:paraId="5FC41800">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3.5</w:t>
      </w:r>
      <w:r>
        <w:rPr>
          <w:rFonts w:hint="eastAsia" w:asciiTheme="minorEastAsia" w:hAnsiTheme="minorEastAsia" w:eastAsiaTheme="minorEastAsia" w:cstheme="minorEastAsia"/>
          <w:color w:val="auto"/>
          <w:sz w:val="24"/>
          <w:szCs w:val="24"/>
          <w:highlight w:val="none"/>
        </w:rPr>
        <w:t>单位负责人为同一人或者存在控股、管理关系的不同单位，不得同时参加本项目政府采购活动（投标文件内附加盖供投标应商公章的“</w:t>
      </w:r>
      <w:r>
        <w:rPr>
          <w:rFonts w:hint="eastAsia" w:asciiTheme="minorEastAsia" w:hAnsiTheme="minorEastAsia" w:eastAsiaTheme="minorEastAsia" w:cstheme="minorEastAsia"/>
          <w:color w:val="auto"/>
          <w:sz w:val="24"/>
          <w:szCs w:val="24"/>
          <w:highlight w:val="none"/>
          <w:lang w:eastAsia="zh-CN"/>
        </w:rPr>
        <w:t>国家企业信用信息公示系统</w:t>
      </w:r>
      <w:r>
        <w:rPr>
          <w:rFonts w:hint="eastAsia" w:asciiTheme="minorEastAsia" w:hAnsiTheme="minorEastAsia" w:eastAsiaTheme="minorEastAsia" w:cstheme="minorEastAsia"/>
          <w:color w:val="auto"/>
          <w:sz w:val="24"/>
          <w:szCs w:val="24"/>
          <w:highlight w:val="none"/>
        </w:rPr>
        <w:t>”中公示的公司信息、股东或投资人信息）；</w:t>
      </w:r>
    </w:p>
    <w:p w14:paraId="5BF4466C">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3.6</w:t>
      </w:r>
      <w:r>
        <w:rPr>
          <w:rFonts w:hint="eastAsia" w:asciiTheme="minorEastAsia" w:hAnsiTheme="minorEastAsia" w:eastAsiaTheme="minorEastAsia" w:cstheme="minorEastAsia"/>
          <w:color w:val="auto"/>
          <w:sz w:val="24"/>
          <w:szCs w:val="24"/>
          <w:highlight w:val="none"/>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相关网页查询页截图，查询时间为本项目公告发布之后；</w:t>
      </w:r>
    </w:p>
    <w:p w14:paraId="388A1122">
      <w:pPr>
        <w:rPr>
          <w:rFonts w:ascii="宋体" w:hAnsi="宋体" w:cs="宋体"/>
          <w:b/>
          <w:bCs/>
          <w:color w:val="auto"/>
          <w:sz w:val="24"/>
          <w:highlight w:val="none"/>
        </w:rPr>
      </w:pPr>
      <w:r>
        <w:rPr>
          <w:rFonts w:hint="eastAsia" w:asciiTheme="minorEastAsia" w:hAnsiTheme="minorEastAsia" w:eastAsiaTheme="minorEastAsia" w:cstheme="minorEastAsia"/>
          <w:color w:val="auto"/>
          <w:sz w:val="24"/>
          <w:szCs w:val="24"/>
          <w:highlight w:val="none"/>
          <w:lang w:val="en-US" w:eastAsia="zh-CN"/>
        </w:rPr>
        <w:t>3.7</w:t>
      </w:r>
      <w:r>
        <w:rPr>
          <w:rFonts w:hint="eastAsia" w:asciiTheme="minorEastAsia" w:hAnsiTheme="minorEastAsia" w:eastAsiaTheme="minorEastAsia" w:cstheme="minorEastAsia"/>
          <w:color w:val="auto"/>
          <w:sz w:val="24"/>
          <w:szCs w:val="24"/>
          <w:highlight w:val="none"/>
        </w:rPr>
        <w:t>本项目不接受联合体投标</w:t>
      </w:r>
      <w:r>
        <w:rPr>
          <w:rFonts w:hint="eastAsia" w:asciiTheme="minorEastAsia" w:hAnsiTheme="minorEastAsia" w:eastAsiaTheme="minorEastAsia" w:cstheme="minorEastAsia"/>
          <w:color w:val="auto"/>
          <w:sz w:val="28"/>
          <w:szCs w:val="28"/>
          <w:highlight w:val="none"/>
        </w:rPr>
        <w:t>。</w:t>
      </w:r>
    </w:p>
    <w:p w14:paraId="58BF9ACB">
      <w:pPr>
        <w:pStyle w:val="14"/>
        <w:ind w:left="63" w:right="63" w:firstLine="210"/>
        <w:rPr>
          <w:color w:val="auto"/>
          <w:highlight w:val="none"/>
        </w:rPr>
      </w:pPr>
    </w:p>
    <w:p w14:paraId="18D96427">
      <w:pPr>
        <w:widowControl/>
        <w:jc w:val="left"/>
        <w:rPr>
          <w:rFonts w:ascii="宋体" w:hAnsi="宋体" w:cs="宋体"/>
          <w:b/>
          <w:bCs/>
          <w:color w:val="auto"/>
          <w:sz w:val="24"/>
          <w:highlight w:val="none"/>
        </w:rPr>
      </w:pPr>
      <w:r>
        <w:rPr>
          <w:rFonts w:ascii="宋体" w:hAnsi="宋体" w:cs="宋体"/>
          <w:b/>
          <w:bCs/>
          <w:color w:val="auto"/>
          <w:sz w:val="24"/>
          <w:highlight w:val="none"/>
        </w:rPr>
        <w:br w:type="page"/>
      </w:r>
    </w:p>
    <w:p w14:paraId="0D144278">
      <w:pPr>
        <w:jc w:val="center"/>
        <w:rPr>
          <w:rFonts w:ascii="宋体" w:hAnsi="宋体" w:cs="宋体"/>
          <w:b/>
          <w:bCs/>
          <w:color w:val="auto"/>
          <w:sz w:val="24"/>
          <w:highlight w:val="none"/>
        </w:rPr>
      </w:pPr>
      <w:r>
        <w:rPr>
          <w:rFonts w:hint="eastAsia" w:ascii="宋体" w:hAnsi="宋体" w:cs="宋体"/>
          <w:b/>
          <w:bCs/>
          <w:color w:val="auto"/>
          <w:sz w:val="24"/>
          <w:highlight w:val="none"/>
        </w:rPr>
        <w:t>（三）</w:t>
      </w:r>
      <w:bookmarkEnd w:id="154"/>
      <w:r>
        <w:rPr>
          <w:rFonts w:hint="eastAsia" w:ascii="宋体" w:hAnsi="宋体" w:cs="宋体"/>
          <w:b/>
          <w:bCs/>
          <w:color w:val="auto"/>
          <w:sz w:val="24"/>
          <w:highlight w:val="none"/>
        </w:rPr>
        <w:t>近年完成的类似项目情况表</w:t>
      </w:r>
    </w:p>
    <w:tbl>
      <w:tblPr>
        <w:tblStyle w:val="16"/>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0"/>
        <w:gridCol w:w="6549"/>
      </w:tblGrid>
      <w:tr w14:paraId="595C0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5C207DCC">
            <w:pPr>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6549" w:type="dxa"/>
            <w:vAlign w:val="center"/>
          </w:tcPr>
          <w:p w14:paraId="1B29CEC3">
            <w:pPr>
              <w:jc w:val="center"/>
              <w:rPr>
                <w:rFonts w:ascii="宋体" w:hAnsi="宋体" w:cs="宋体"/>
                <w:color w:val="auto"/>
                <w:szCs w:val="21"/>
                <w:highlight w:val="none"/>
              </w:rPr>
            </w:pPr>
          </w:p>
        </w:tc>
      </w:tr>
      <w:tr w14:paraId="6915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068982A2">
            <w:pPr>
              <w:jc w:val="center"/>
              <w:rPr>
                <w:rFonts w:ascii="宋体" w:hAnsi="宋体" w:cs="宋体"/>
                <w:color w:val="auto"/>
                <w:szCs w:val="21"/>
                <w:highlight w:val="none"/>
              </w:rPr>
            </w:pPr>
            <w:r>
              <w:rPr>
                <w:rFonts w:hint="eastAsia" w:ascii="宋体" w:hAnsi="宋体" w:cs="宋体"/>
                <w:color w:val="auto"/>
                <w:szCs w:val="21"/>
                <w:highlight w:val="none"/>
              </w:rPr>
              <w:t>项目所在地</w:t>
            </w:r>
          </w:p>
        </w:tc>
        <w:tc>
          <w:tcPr>
            <w:tcW w:w="6549" w:type="dxa"/>
            <w:vAlign w:val="center"/>
          </w:tcPr>
          <w:p w14:paraId="318E29FC">
            <w:pPr>
              <w:jc w:val="center"/>
              <w:rPr>
                <w:rFonts w:ascii="宋体" w:hAnsi="宋体" w:cs="宋体"/>
                <w:color w:val="auto"/>
                <w:szCs w:val="21"/>
                <w:highlight w:val="none"/>
              </w:rPr>
            </w:pPr>
          </w:p>
        </w:tc>
      </w:tr>
      <w:tr w14:paraId="45BB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70CAED21">
            <w:pPr>
              <w:jc w:val="center"/>
              <w:rPr>
                <w:rFonts w:ascii="宋体" w:hAnsi="宋体" w:cs="宋体"/>
                <w:color w:val="auto"/>
                <w:szCs w:val="21"/>
                <w:highlight w:val="none"/>
              </w:rPr>
            </w:pPr>
            <w:r>
              <w:rPr>
                <w:rFonts w:hint="eastAsia" w:ascii="宋体" w:hAnsi="宋体" w:cs="宋体"/>
                <w:color w:val="auto"/>
                <w:szCs w:val="21"/>
                <w:highlight w:val="none"/>
              </w:rPr>
              <w:t>发包人名称</w:t>
            </w:r>
          </w:p>
        </w:tc>
        <w:tc>
          <w:tcPr>
            <w:tcW w:w="6549" w:type="dxa"/>
            <w:vAlign w:val="center"/>
          </w:tcPr>
          <w:p w14:paraId="4DECB329">
            <w:pPr>
              <w:jc w:val="center"/>
              <w:rPr>
                <w:rFonts w:ascii="宋体" w:hAnsi="宋体" w:cs="宋体"/>
                <w:color w:val="auto"/>
                <w:szCs w:val="21"/>
                <w:highlight w:val="none"/>
              </w:rPr>
            </w:pPr>
          </w:p>
        </w:tc>
      </w:tr>
      <w:tr w14:paraId="68CF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3E275913">
            <w:pPr>
              <w:jc w:val="center"/>
              <w:rPr>
                <w:rFonts w:ascii="宋体" w:hAnsi="宋体" w:cs="宋体"/>
                <w:color w:val="auto"/>
                <w:szCs w:val="21"/>
                <w:highlight w:val="none"/>
              </w:rPr>
            </w:pPr>
            <w:r>
              <w:rPr>
                <w:rFonts w:hint="eastAsia" w:ascii="宋体" w:hAnsi="宋体" w:cs="宋体"/>
                <w:color w:val="auto"/>
                <w:szCs w:val="21"/>
                <w:highlight w:val="none"/>
              </w:rPr>
              <w:t>发包人联系电话</w:t>
            </w:r>
          </w:p>
        </w:tc>
        <w:tc>
          <w:tcPr>
            <w:tcW w:w="6549" w:type="dxa"/>
            <w:vAlign w:val="center"/>
          </w:tcPr>
          <w:p w14:paraId="5C303E05">
            <w:pPr>
              <w:jc w:val="center"/>
              <w:rPr>
                <w:rFonts w:ascii="宋体" w:hAnsi="宋体" w:cs="宋体"/>
                <w:color w:val="auto"/>
                <w:szCs w:val="21"/>
                <w:highlight w:val="none"/>
              </w:rPr>
            </w:pPr>
          </w:p>
        </w:tc>
      </w:tr>
      <w:tr w14:paraId="092A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78AC388F">
            <w:pPr>
              <w:jc w:val="center"/>
              <w:rPr>
                <w:rFonts w:ascii="宋体" w:hAnsi="宋体" w:cs="宋体"/>
                <w:color w:val="auto"/>
                <w:szCs w:val="21"/>
                <w:highlight w:val="none"/>
              </w:rPr>
            </w:pPr>
            <w:r>
              <w:rPr>
                <w:rFonts w:hint="eastAsia" w:ascii="宋体" w:hAnsi="宋体" w:cs="宋体"/>
                <w:color w:val="auto"/>
                <w:szCs w:val="21"/>
                <w:highlight w:val="none"/>
              </w:rPr>
              <w:t>合同价格</w:t>
            </w:r>
          </w:p>
        </w:tc>
        <w:tc>
          <w:tcPr>
            <w:tcW w:w="6549" w:type="dxa"/>
            <w:vAlign w:val="center"/>
          </w:tcPr>
          <w:p w14:paraId="34B2174E">
            <w:pPr>
              <w:jc w:val="center"/>
              <w:rPr>
                <w:rFonts w:ascii="宋体" w:hAnsi="宋体" w:cs="宋体"/>
                <w:color w:val="auto"/>
                <w:szCs w:val="21"/>
                <w:highlight w:val="none"/>
              </w:rPr>
            </w:pPr>
          </w:p>
        </w:tc>
      </w:tr>
      <w:tr w14:paraId="5EBF7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526DA682">
            <w:pPr>
              <w:jc w:val="center"/>
              <w:rPr>
                <w:rFonts w:ascii="宋体" w:hAnsi="宋体" w:cs="宋体"/>
                <w:color w:val="auto"/>
                <w:szCs w:val="21"/>
                <w:highlight w:val="none"/>
              </w:rPr>
            </w:pPr>
            <w:r>
              <w:rPr>
                <w:rFonts w:hint="eastAsia" w:ascii="宋体" w:hAnsi="宋体" w:cs="宋体"/>
                <w:color w:val="auto"/>
                <w:szCs w:val="21"/>
                <w:highlight w:val="none"/>
              </w:rPr>
              <w:t>合同日期</w:t>
            </w:r>
          </w:p>
        </w:tc>
        <w:tc>
          <w:tcPr>
            <w:tcW w:w="6549" w:type="dxa"/>
            <w:vAlign w:val="center"/>
          </w:tcPr>
          <w:p w14:paraId="10C23174">
            <w:pPr>
              <w:jc w:val="center"/>
              <w:rPr>
                <w:rFonts w:ascii="宋体" w:hAnsi="宋体" w:cs="宋体"/>
                <w:color w:val="auto"/>
                <w:szCs w:val="21"/>
                <w:highlight w:val="none"/>
              </w:rPr>
            </w:pPr>
          </w:p>
        </w:tc>
      </w:tr>
      <w:tr w14:paraId="50BA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287D0669">
            <w:pPr>
              <w:jc w:val="center"/>
              <w:rPr>
                <w:rFonts w:ascii="宋体" w:hAnsi="宋体" w:cs="宋体"/>
                <w:color w:val="auto"/>
                <w:szCs w:val="21"/>
                <w:highlight w:val="none"/>
              </w:rPr>
            </w:pPr>
            <w:r>
              <w:rPr>
                <w:rFonts w:hint="eastAsia" w:ascii="宋体" w:hAnsi="宋体" w:cs="宋体"/>
                <w:color w:val="auto"/>
                <w:szCs w:val="21"/>
                <w:highlight w:val="none"/>
              </w:rPr>
              <w:t>承担的工作</w:t>
            </w:r>
          </w:p>
        </w:tc>
        <w:tc>
          <w:tcPr>
            <w:tcW w:w="6549" w:type="dxa"/>
            <w:vAlign w:val="center"/>
          </w:tcPr>
          <w:p w14:paraId="3F1F28A3">
            <w:pPr>
              <w:jc w:val="center"/>
              <w:rPr>
                <w:rFonts w:ascii="宋体" w:hAnsi="宋体" w:cs="宋体"/>
                <w:color w:val="auto"/>
                <w:szCs w:val="21"/>
                <w:highlight w:val="none"/>
              </w:rPr>
            </w:pPr>
          </w:p>
        </w:tc>
      </w:tr>
      <w:tr w14:paraId="6C7FB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6" w:hRule="atLeast"/>
          <w:jc w:val="center"/>
        </w:trPr>
        <w:tc>
          <w:tcPr>
            <w:tcW w:w="2470" w:type="dxa"/>
            <w:vAlign w:val="center"/>
          </w:tcPr>
          <w:p w14:paraId="76983003">
            <w:pPr>
              <w:jc w:val="center"/>
              <w:rPr>
                <w:rFonts w:ascii="宋体" w:hAnsi="宋体" w:cs="宋体"/>
                <w:color w:val="auto"/>
                <w:szCs w:val="21"/>
                <w:highlight w:val="none"/>
              </w:rPr>
            </w:pPr>
            <w:r>
              <w:rPr>
                <w:rFonts w:hint="eastAsia" w:ascii="宋体" w:hAnsi="宋体" w:cs="宋体"/>
                <w:color w:val="auto"/>
                <w:szCs w:val="21"/>
                <w:highlight w:val="none"/>
              </w:rPr>
              <w:t>项目描述</w:t>
            </w:r>
          </w:p>
        </w:tc>
        <w:tc>
          <w:tcPr>
            <w:tcW w:w="6549" w:type="dxa"/>
            <w:vAlign w:val="center"/>
          </w:tcPr>
          <w:p w14:paraId="1132015C">
            <w:pPr>
              <w:jc w:val="center"/>
              <w:rPr>
                <w:rFonts w:ascii="宋体" w:hAnsi="宋体" w:cs="宋体"/>
                <w:color w:val="auto"/>
                <w:szCs w:val="21"/>
                <w:highlight w:val="none"/>
              </w:rPr>
            </w:pPr>
          </w:p>
        </w:tc>
      </w:tr>
      <w:tr w14:paraId="3ABC2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4DEC2A0A">
            <w:pPr>
              <w:jc w:val="center"/>
              <w:rPr>
                <w:rFonts w:ascii="宋体" w:hAnsi="宋体" w:cs="宋体"/>
                <w:color w:val="auto"/>
                <w:szCs w:val="21"/>
                <w:highlight w:val="none"/>
              </w:rPr>
            </w:pPr>
            <w:r>
              <w:rPr>
                <w:rFonts w:hint="eastAsia" w:ascii="宋体" w:hAnsi="宋体" w:cs="宋体"/>
                <w:color w:val="auto"/>
                <w:szCs w:val="21"/>
                <w:highlight w:val="none"/>
              </w:rPr>
              <w:t>备注</w:t>
            </w:r>
          </w:p>
        </w:tc>
        <w:tc>
          <w:tcPr>
            <w:tcW w:w="6549" w:type="dxa"/>
            <w:vAlign w:val="center"/>
          </w:tcPr>
          <w:p w14:paraId="3122200C">
            <w:pPr>
              <w:jc w:val="center"/>
              <w:rPr>
                <w:rFonts w:ascii="宋体" w:hAnsi="宋体" w:cs="宋体"/>
                <w:color w:val="auto"/>
                <w:szCs w:val="21"/>
                <w:highlight w:val="none"/>
              </w:rPr>
            </w:pPr>
          </w:p>
        </w:tc>
      </w:tr>
    </w:tbl>
    <w:p w14:paraId="3BC1B6A2">
      <w:pPr>
        <w:spacing w:line="380" w:lineRule="exact"/>
        <w:ind w:left="630" w:hanging="630" w:hangingChars="300"/>
        <w:rPr>
          <w:rFonts w:ascii="宋体" w:hAnsi="宋体" w:cs="宋体"/>
          <w:color w:val="auto"/>
          <w:szCs w:val="21"/>
          <w:highlight w:val="none"/>
        </w:rPr>
      </w:pPr>
    </w:p>
    <w:p w14:paraId="25E70C3C">
      <w:pPr>
        <w:spacing w:line="380" w:lineRule="exact"/>
        <w:ind w:left="630" w:hanging="630" w:hangingChars="300"/>
        <w:rPr>
          <w:rFonts w:ascii="宋体" w:hAnsi="宋体" w:cs="宋体"/>
          <w:color w:val="auto"/>
          <w:szCs w:val="21"/>
          <w:highlight w:val="none"/>
        </w:rPr>
      </w:pPr>
      <w:r>
        <w:rPr>
          <w:rFonts w:hint="eastAsia" w:ascii="宋体" w:hAnsi="宋体" w:cs="宋体"/>
          <w:color w:val="auto"/>
          <w:szCs w:val="21"/>
          <w:highlight w:val="none"/>
        </w:rPr>
        <w:t>备注：1、类似项目指</w:t>
      </w:r>
      <w:r>
        <w:rPr>
          <w:rFonts w:hint="eastAsia" w:ascii="宋体" w:hAnsi="宋体" w:cs="宋体"/>
          <w:color w:val="auto"/>
          <w:szCs w:val="21"/>
          <w:highlight w:val="none"/>
          <w:u w:val="single"/>
        </w:rPr>
        <w:t xml:space="preserve">    类似采购   </w:t>
      </w:r>
      <w:r>
        <w:rPr>
          <w:rFonts w:hint="eastAsia" w:ascii="宋体" w:hAnsi="宋体" w:cs="宋体"/>
          <w:color w:val="auto"/>
          <w:szCs w:val="21"/>
          <w:highlight w:val="none"/>
        </w:rPr>
        <w:t>的项目。</w:t>
      </w:r>
    </w:p>
    <w:p w14:paraId="07C6D581">
      <w:pPr>
        <w:spacing w:line="440" w:lineRule="exact"/>
        <w:ind w:left="630" w:leftChars="300"/>
        <w:rPr>
          <w:rFonts w:ascii="宋体" w:hAnsi="宋体" w:cs="宋体"/>
          <w:color w:val="auto"/>
          <w:szCs w:val="21"/>
          <w:highlight w:val="none"/>
        </w:rPr>
      </w:pPr>
      <w:r>
        <w:rPr>
          <w:rFonts w:hint="eastAsia" w:ascii="宋体" w:hAnsi="宋体" w:cs="宋体"/>
          <w:color w:val="auto"/>
          <w:szCs w:val="21"/>
          <w:highlight w:val="none"/>
        </w:rPr>
        <w:t>2、本表后附</w:t>
      </w:r>
      <w:r>
        <w:rPr>
          <w:rFonts w:hint="eastAsia" w:hAnsi="宋体"/>
          <w:color w:val="auto"/>
          <w:highlight w:val="none"/>
        </w:rPr>
        <w:t>扫描件</w:t>
      </w:r>
      <w:r>
        <w:rPr>
          <w:rFonts w:hint="eastAsia" w:ascii="宋体" w:hAnsi="宋体" w:cs="宋体"/>
          <w:color w:val="auto"/>
          <w:szCs w:val="21"/>
          <w:highlight w:val="none"/>
        </w:rPr>
        <w:t>。每张表格只填写一个项目，并标明序号。</w:t>
      </w:r>
    </w:p>
    <w:p w14:paraId="50FC078C">
      <w:pPr>
        <w:pStyle w:val="19"/>
        <w:rPr>
          <w:rFonts w:hAnsi="宋体"/>
          <w:color w:val="auto"/>
          <w:highlight w:val="none"/>
        </w:rPr>
      </w:pPr>
    </w:p>
    <w:p w14:paraId="4F325AFB">
      <w:pPr>
        <w:pStyle w:val="19"/>
        <w:jc w:val="center"/>
        <w:outlineLvl w:val="0"/>
        <w:rPr>
          <w:rFonts w:hAnsi="宋体"/>
          <w:b/>
          <w:color w:val="auto"/>
          <w:sz w:val="28"/>
          <w:highlight w:val="none"/>
        </w:rPr>
      </w:pPr>
      <w:r>
        <w:rPr>
          <w:rFonts w:hint="eastAsia" w:hAnsi="宋体"/>
          <w:b/>
          <w:bCs/>
          <w:color w:val="auto"/>
          <w:highlight w:val="none"/>
        </w:rPr>
        <w:br w:type="page"/>
      </w:r>
      <w:bookmarkStart w:id="155" w:name="_Toc3007"/>
      <w:r>
        <w:rPr>
          <w:rFonts w:hint="eastAsia" w:hAnsi="宋体"/>
          <w:b/>
          <w:bCs/>
          <w:color w:val="auto"/>
          <w:sz w:val="28"/>
          <w:highlight w:val="none"/>
        </w:rPr>
        <w:t>九、</w:t>
      </w:r>
      <w:r>
        <w:rPr>
          <w:rFonts w:hint="eastAsia"/>
          <w:b/>
          <w:color w:val="auto"/>
          <w:sz w:val="28"/>
          <w:highlight w:val="none"/>
        </w:rPr>
        <w:t>投标供应商认为应附的其他资料</w:t>
      </w:r>
      <w:bookmarkEnd w:id="155"/>
    </w:p>
    <w:p w14:paraId="30245625">
      <w:pPr>
        <w:pStyle w:val="14"/>
        <w:snapToGrid w:val="0"/>
        <w:spacing w:after="0" w:line="360" w:lineRule="auto"/>
        <w:ind w:left="0" w:leftChars="0" w:right="0" w:rightChars="0" w:firstLine="0" w:firstLineChars="0"/>
        <w:jc w:val="left"/>
        <w:rPr>
          <w:rFonts w:ascii="宋体" w:hAnsi="宋体"/>
          <w:color w:val="auto"/>
          <w:sz w:val="24"/>
          <w:highlight w:val="none"/>
        </w:rPr>
      </w:pPr>
      <w:r>
        <w:rPr>
          <w:rFonts w:hint="eastAsia" w:ascii="宋体" w:hAnsi="宋体"/>
          <w:color w:val="auto"/>
          <w:sz w:val="24"/>
          <w:highlight w:val="none"/>
        </w:rPr>
        <w:t>包括但不限于：</w:t>
      </w:r>
    </w:p>
    <w:p w14:paraId="38BDA2F4">
      <w:pPr>
        <w:pStyle w:val="14"/>
        <w:snapToGrid w:val="0"/>
        <w:spacing w:after="0" w:line="360" w:lineRule="auto"/>
        <w:ind w:left="0" w:leftChars="0" w:right="0" w:rightChars="0" w:firstLine="0" w:firstLineChars="0"/>
        <w:jc w:val="left"/>
        <w:rPr>
          <w:rFonts w:ascii="宋体" w:hAnsi="宋体"/>
          <w:color w:val="auto"/>
          <w:sz w:val="24"/>
          <w:highlight w:val="none"/>
        </w:rPr>
      </w:pPr>
      <w:r>
        <w:rPr>
          <w:rFonts w:hint="eastAsia" w:ascii="宋体" w:hAnsi="宋体"/>
          <w:color w:val="auto"/>
          <w:sz w:val="24"/>
          <w:highlight w:val="none"/>
        </w:rPr>
        <w:t>（1）中小微企业提供《中小企业声明函》</w:t>
      </w:r>
    </w:p>
    <w:p w14:paraId="3DF98D96">
      <w:pPr>
        <w:adjustRightInd w:val="0"/>
        <w:snapToGrid w:val="0"/>
        <w:spacing w:line="360" w:lineRule="auto"/>
        <w:jc w:val="left"/>
        <w:textAlignment w:val="center"/>
        <w:rPr>
          <w:rFonts w:ascii="宋体" w:hAnsi="宋体" w:cs="宋体"/>
          <w:color w:val="auto"/>
          <w:sz w:val="24"/>
          <w:szCs w:val="21"/>
          <w:highlight w:val="none"/>
        </w:rPr>
      </w:pPr>
      <w:r>
        <w:rPr>
          <w:rFonts w:hint="eastAsia" w:ascii="宋体" w:hAnsi="宋体"/>
          <w:color w:val="auto"/>
          <w:sz w:val="24"/>
          <w:highlight w:val="none"/>
        </w:rPr>
        <w:t>（2）招标文件及评标办法中要求投标人提供的相关证明材料；</w:t>
      </w:r>
    </w:p>
    <w:p w14:paraId="2F5F78B0">
      <w:pPr>
        <w:spacing w:line="480" w:lineRule="exact"/>
        <w:ind w:right="-340" w:rightChars="-162"/>
        <w:textAlignment w:val="center"/>
        <w:rPr>
          <w:rFonts w:ascii="宋体" w:hAnsi="宋体" w:cs="宋体"/>
          <w:b/>
          <w:color w:val="auto"/>
          <w:sz w:val="32"/>
          <w:szCs w:val="32"/>
          <w:highlight w:val="none"/>
        </w:rPr>
      </w:pPr>
    </w:p>
    <w:p w14:paraId="59ACD123">
      <w:pPr>
        <w:widowControl/>
        <w:jc w:val="left"/>
        <w:rPr>
          <w:color w:val="auto"/>
          <w:highlight w:val="none"/>
        </w:rPr>
      </w:pPr>
      <w:r>
        <w:rPr>
          <w:color w:val="auto"/>
          <w:highlight w:val="none"/>
        </w:rPr>
        <w:br w:type="page"/>
      </w:r>
    </w:p>
    <w:p w14:paraId="33508E74">
      <w:pPr>
        <w:spacing w:line="480" w:lineRule="auto"/>
        <w:jc w:val="center"/>
        <w:rPr>
          <w:rFonts w:ascii="黑体" w:hAnsi="黑体" w:eastAsia="黑体" w:cs="宋体"/>
          <w:bCs/>
          <w:color w:val="auto"/>
          <w:kern w:val="0"/>
          <w:sz w:val="28"/>
          <w:szCs w:val="28"/>
          <w:highlight w:val="none"/>
        </w:rPr>
      </w:pPr>
      <w:r>
        <w:rPr>
          <w:rFonts w:hint="eastAsia" w:ascii="宋体" w:hAnsi="宋体" w:cs="宋体"/>
          <w:b/>
          <w:bCs/>
          <w:color w:val="auto"/>
          <w:kern w:val="0"/>
          <w:sz w:val="28"/>
          <w:szCs w:val="28"/>
          <w:highlight w:val="none"/>
        </w:rPr>
        <w:t>附：</w:t>
      </w:r>
      <w:r>
        <w:rPr>
          <w:rFonts w:hint="eastAsia" w:ascii="黑体" w:hAnsi="黑体" w:eastAsia="黑体" w:cs="宋体"/>
          <w:bCs/>
          <w:color w:val="auto"/>
          <w:kern w:val="0"/>
          <w:sz w:val="28"/>
          <w:szCs w:val="28"/>
          <w:highlight w:val="none"/>
        </w:rPr>
        <w:t>中小企业声明函（货物）</w:t>
      </w:r>
    </w:p>
    <w:p w14:paraId="48725D01">
      <w:pPr>
        <w:spacing w:beforeLines="100" w:line="480" w:lineRule="auto"/>
        <w:ind w:firstLine="482"/>
        <w:jc w:val="left"/>
        <w:rPr>
          <w:rFonts w:ascii="宋体" w:hAnsi="宋体"/>
          <w:color w:val="auto"/>
          <w:sz w:val="24"/>
          <w:highlight w:val="none"/>
        </w:rPr>
      </w:pPr>
      <w:r>
        <w:rPr>
          <w:rFonts w:hint="eastAsia" w:ascii="宋体" w:hAnsi="宋体"/>
          <w:color w:val="auto"/>
          <w:sz w:val="24"/>
          <w:highlight w:val="none"/>
        </w:rPr>
        <w:t>本公司（联合体）郑重声明，根据《政府采购促进中小企业发展管理办法》（财库﹝2020﹞46 号）的规定，本公司（联合体）参加</w:t>
      </w:r>
      <w:r>
        <w:rPr>
          <w:rFonts w:hint="eastAsia" w:ascii="宋体" w:hAnsi="宋体"/>
          <w:color w:val="auto"/>
          <w:sz w:val="24"/>
          <w:highlight w:val="none"/>
          <w:u w:val="single"/>
        </w:rPr>
        <w:t>（单位名称）</w:t>
      </w:r>
      <w:r>
        <w:rPr>
          <w:rFonts w:hint="eastAsia" w:ascii="宋体" w:hAnsi="宋体"/>
          <w:color w:val="auto"/>
          <w:sz w:val="24"/>
          <w:highlight w:val="none"/>
        </w:rPr>
        <w:t>的</w:t>
      </w:r>
      <w:r>
        <w:rPr>
          <w:rFonts w:hint="eastAsia" w:ascii="宋体" w:hAnsi="宋体"/>
          <w:color w:val="auto"/>
          <w:sz w:val="24"/>
          <w:highlight w:val="none"/>
          <w:u w:val="single"/>
        </w:rPr>
        <w:t>（项目名称）</w:t>
      </w:r>
      <w:r>
        <w:rPr>
          <w:rFonts w:hint="eastAsia" w:ascii="宋体" w:hAnsi="宋体"/>
          <w:color w:val="auto"/>
          <w:sz w:val="24"/>
          <w:highlight w:val="none"/>
        </w:rPr>
        <w:t xml:space="preserve">采购活动，提供的货物全部由符合政策要求的中小企业制造。相关企业（含联合体中的中小企业、签订分包意向协议的中小企业）的具体情况如下： </w:t>
      </w:r>
    </w:p>
    <w:p w14:paraId="4FB14BF8">
      <w:pPr>
        <w:spacing w:line="480" w:lineRule="auto"/>
        <w:ind w:firstLine="480"/>
        <w:jc w:val="left"/>
        <w:rPr>
          <w:rFonts w:ascii="宋体" w:hAnsi="宋体"/>
          <w:color w:val="auto"/>
          <w:sz w:val="24"/>
          <w:highlight w:val="none"/>
        </w:rPr>
      </w:pPr>
      <w:r>
        <w:rPr>
          <w:rFonts w:hint="eastAsia" w:ascii="宋体" w:hAnsi="宋体"/>
          <w:color w:val="auto"/>
          <w:sz w:val="24"/>
          <w:highlight w:val="none"/>
        </w:rPr>
        <w:t xml:space="preserve">1. </w:t>
      </w:r>
      <w:r>
        <w:rPr>
          <w:rFonts w:hint="eastAsia" w:ascii="宋体" w:hAnsi="宋体"/>
          <w:color w:val="auto"/>
          <w:sz w:val="24"/>
          <w:highlight w:val="none"/>
          <w:u w:val="single"/>
        </w:rPr>
        <w:t xml:space="preserve">（标的名称） </w:t>
      </w:r>
      <w:r>
        <w:rPr>
          <w:rFonts w:hint="eastAsia" w:ascii="宋体" w:hAnsi="宋体"/>
          <w:color w:val="auto"/>
          <w:sz w:val="24"/>
          <w:highlight w:val="none"/>
        </w:rPr>
        <w:t>，属于</w:t>
      </w:r>
      <w:r>
        <w:rPr>
          <w:rFonts w:hint="eastAsia" w:ascii="宋体" w:hAnsi="宋体"/>
          <w:color w:val="auto"/>
          <w:sz w:val="24"/>
          <w:highlight w:val="none"/>
          <w:u w:val="single"/>
        </w:rPr>
        <w:t>（采购文件中明确的所属行业）</w:t>
      </w:r>
      <w:r>
        <w:rPr>
          <w:rFonts w:hint="eastAsia" w:ascii="宋体" w:hAnsi="宋体"/>
          <w:color w:val="auto"/>
          <w:sz w:val="24"/>
          <w:highlight w:val="none"/>
        </w:rPr>
        <w:t>；制造商为</w:t>
      </w:r>
      <w:r>
        <w:rPr>
          <w:rFonts w:hint="eastAsia" w:ascii="宋体" w:hAnsi="宋体"/>
          <w:color w:val="auto"/>
          <w:sz w:val="24"/>
          <w:highlight w:val="none"/>
          <w:u w:val="single"/>
        </w:rPr>
        <w:t>（企业名称）</w:t>
      </w:r>
      <w:r>
        <w:rPr>
          <w:rFonts w:hint="eastAsia" w:ascii="宋体" w:hAnsi="宋体"/>
          <w:color w:val="auto"/>
          <w:sz w:val="24"/>
          <w:highlight w:val="none"/>
        </w:rPr>
        <w:t>，从业人员人，营业收入为万元，资产总额为万元1，属于（中型企业、小型企业、微型企业）；</w:t>
      </w:r>
    </w:p>
    <w:p w14:paraId="79100903">
      <w:pPr>
        <w:spacing w:line="480" w:lineRule="auto"/>
        <w:ind w:firstLine="480"/>
        <w:jc w:val="left"/>
        <w:rPr>
          <w:rFonts w:ascii="宋体" w:hAnsi="宋体"/>
          <w:color w:val="auto"/>
          <w:sz w:val="24"/>
          <w:highlight w:val="none"/>
        </w:rPr>
      </w:pPr>
      <w:r>
        <w:rPr>
          <w:rFonts w:hint="eastAsia" w:ascii="宋体" w:hAnsi="宋体"/>
          <w:color w:val="auto"/>
          <w:sz w:val="24"/>
          <w:highlight w:val="none"/>
        </w:rPr>
        <w:t xml:space="preserve">2. </w:t>
      </w:r>
      <w:r>
        <w:rPr>
          <w:rFonts w:hint="eastAsia" w:ascii="宋体" w:hAnsi="宋体"/>
          <w:color w:val="auto"/>
          <w:sz w:val="24"/>
          <w:highlight w:val="none"/>
          <w:u w:val="single"/>
        </w:rPr>
        <w:t xml:space="preserve">（标的名称） </w:t>
      </w:r>
      <w:r>
        <w:rPr>
          <w:rFonts w:hint="eastAsia" w:ascii="宋体" w:hAnsi="宋体"/>
          <w:color w:val="auto"/>
          <w:sz w:val="24"/>
          <w:highlight w:val="none"/>
        </w:rPr>
        <w:t>，属于</w:t>
      </w:r>
      <w:r>
        <w:rPr>
          <w:rFonts w:hint="eastAsia" w:ascii="宋体" w:hAnsi="宋体"/>
          <w:color w:val="auto"/>
          <w:sz w:val="24"/>
          <w:highlight w:val="none"/>
          <w:u w:val="single"/>
        </w:rPr>
        <w:t>（采购文件中明确的所属行业）</w:t>
      </w:r>
      <w:r>
        <w:rPr>
          <w:rFonts w:hint="eastAsia" w:ascii="宋体" w:hAnsi="宋体"/>
          <w:color w:val="auto"/>
          <w:sz w:val="24"/>
          <w:highlight w:val="none"/>
        </w:rPr>
        <w:t>；制造商为</w:t>
      </w:r>
      <w:r>
        <w:rPr>
          <w:rFonts w:hint="eastAsia" w:ascii="宋体" w:hAnsi="宋体"/>
          <w:color w:val="auto"/>
          <w:sz w:val="24"/>
          <w:highlight w:val="none"/>
          <w:u w:val="single"/>
        </w:rPr>
        <w:t>（企业名称）</w:t>
      </w:r>
      <w:r>
        <w:rPr>
          <w:rFonts w:hint="eastAsia" w:ascii="宋体" w:hAnsi="宋体"/>
          <w:color w:val="auto"/>
          <w:sz w:val="24"/>
          <w:highlight w:val="none"/>
        </w:rPr>
        <w:t>，从业人员人，营业收入为万元，资产总额为万元，属于</w:t>
      </w:r>
      <w:r>
        <w:rPr>
          <w:rFonts w:hint="eastAsia" w:ascii="宋体" w:hAnsi="宋体"/>
          <w:color w:val="auto"/>
          <w:sz w:val="24"/>
          <w:highlight w:val="none"/>
          <w:u w:val="single"/>
        </w:rPr>
        <w:t>（中型企业、小型企业、微型企业）</w:t>
      </w:r>
      <w:r>
        <w:rPr>
          <w:rFonts w:hint="eastAsia" w:ascii="宋体" w:hAnsi="宋体"/>
          <w:color w:val="auto"/>
          <w:sz w:val="24"/>
          <w:highlight w:val="none"/>
        </w:rPr>
        <w:t>；</w:t>
      </w:r>
    </w:p>
    <w:p w14:paraId="5E5CBBF5">
      <w:pPr>
        <w:spacing w:line="480" w:lineRule="auto"/>
        <w:ind w:firstLine="480"/>
        <w:jc w:val="left"/>
        <w:rPr>
          <w:rFonts w:ascii="宋体" w:hAnsi="宋体"/>
          <w:color w:val="auto"/>
          <w:sz w:val="24"/>
          <w:highlight w:val="none"/>
        </w:rPr>
      </w:pPr>
      <w:r>
        <w:rPr>
          <w:rFonts w:hint="eastAsia" w:ascii="宋体" w:hAnsi="宋体"/>
          <w:color w:val="auto"/>
          <w:sz w:val="24"/>
          <w:highlight w:val="none"/>
        </w:rPr>
        <w:t>……</w:t>
      </w:r>
    </w:p>
    <w:p w14:paraId="0E7C3FB1">
      <w:pPr>
        <w:spacing w:line="480" w:lineRule="auto"/>
        <w:ind w:firstLine="480"/>
        <w:jc w:val="left"/>
        <w:rPr>
          <w:rFonts w:ascii="宋体" w:hAnsi="宋体"/>
          <w:color w:val="auto"/>
          <w:sz w:val="24"/>
          <w:highlight w:val="none"/>
        </w:rPr>
      </w:pPr>
      <w:r>
        <w:rPr>
          <w:rFonts w:hint="eastAsia" w:ascii="宋体" w:hAnsi="宋体"/>
          <w:color w:val="auto"/>
          <w:sz w:val="24"/>
          <w:highlight w:val="none"/>
        </w:rPr>
        <w:t>以上企业，不属于大企业的分支机构，不存在控股股东为大企业的情形，也不存在与大企业的负责人为同一人的情形。</w:t>
      </w:r>
    </w:p>
    <w:p w14:paraId="1305D94C">
      <w:pPr>
        <w:spacing w:line="480" w:lineRule="auto"/>
        <w:ind w:firstLine="480"/>
        <w:jc w:val="left"/>
        <w:rPr>
          <w:rFonts w:ascii="宋体" w:hAnsi="宋体"/>
          <w:color w:val="auto"/>
          <w:sz w:val="24"/>
          <w:highlight w:val="none"/>
        </w:rPr>
      </w:pPr>
      <w:r>
        <w:rPr>
          <w:rFonts w:hint="eastAsia" w:ascii="宋体" w:hAnsi="宋体"/>
          <w:color w:val="auto"/>
          <w:sz w:val="24"/>
          <w:highlight w:val="none"/>
        </w:rPr>
        <w:t>本企业对上述声明内容的真实性负责。如有虚假，将依法承担相应责任。</w:t>
      </w:r>
    </w:p>
    <w:p w14:paraId="3E9DA546">
      <w:pPr>
        <w:spacing w:line="480" w:lineRule="auto"/>
        <w:ind w:firstLine="5954"/>
        <w:jc w:val="left"/>
        <w:rPr>
          <w:rFonts w:ascii="宋体" w:hAnsi="宋体"/>
          <w:color w:val="auto"/>
          <w:sz w:val="24"/>
          <w:highlight w:val="none"/>
        </w:rPr>
      </w:pPr>
    </w:p>
    <w:p w14:paraId="10464E19">
      <w:pPr>
        <w:spacing w:line="480" w:lineRule="auto"/>
        <w:ind w:firstLine="5954"/>
        <w:jc w:val="left"/>
        <w:rPr>
          <w:rFonts w:ascii="宋体" w:hAnsi="宋体"/>
          <w:color w:val="auto"/>
          <w:sz w:val="24"/>
          <w:highlight w:val="none"/>
        </w:rPr>
      </w:pPr>
      <w:r>
        <w:rPr>
          <w:rFonts w:hint="eastAsia" w:ascii="宋体" w:hAnsi="宋体"/>
          <w:color w:val="auto"/>
          <w:sz w:val="24"/>
          <w:highlight w:val="none"/>
        </w:rPr>
        <w:t>企业名称（盖章）：</w:t>
      </w:r>
    </w:p>
    <w:p w14:paraId="3E82D49E">
      <w:pPr>
        <w:spacing w:line="480" w:lineRule="auto"/>
        <w:ind w:firstLine="5954"/>
        <w:jc w:val="left"/>
        <w:rPr>
          <w:rFonts w:ascii="宋体" w:hAnsi="宋体"/>
          <w:color w:val="auto"/>
          <w:sz w:val="24"/>
          <w:highlight w:val="none"/>
        </w:rPr>
      </w:pPr>
      <w:r>
        <w:rPr>
          <w:rFonts w:hint="eastAsia" w:ascii="宋体" w:hAnsi="宋体"/>
          <w:color w:val="auto"/>
          <w:sz w:val="24"/>
          <w:highlight w:val="none"/>
        </w:rPr>
        <w:t>日期：</w:t>
      </w:r>
    </w:p>
    <w:p w14:paraId="6EB6524A">
      <w:pPr>
        <w:spacing w:line="360" w:lineRule="auto"/>
        <w:ind w:firstLine="361" w:firstLineChars="150"/>
        <w:jc w:val="left"/>
        <w:rPr>
          <w:rFonts w:ascii="宋体" w:hAnsi="宋体" w:cs="宋体"/>
          <w:b/>
          <w:bCs/>
          <w:color w:val="auto"/>
          <w:sz w:val="24"/>
          <w:highlight w:val="none"/>
        </w:rPr>
      </w:pPr>
      <w:r>
        <w:rPr>
          <w:rFonts w:hint="eastAsia" w:ascii="宋体" w:hAnsi="宋体" w:cs="宋体"/>
          <w:b/>
          <w:bCs/>
          <w:color w:val="auto"/>
          <w:sz w:val="24"/>
          <w:highlight w:val="none"/>
        </w:rPr>
        <w:t>注：1、从业人员、营业收入、资产总额填报上一年度数据，无上一年度数据的新成立企业可不填报。</w:t>
      </w:r>
    </w:p>
    <w:p w14:paraId="5741522F">
      <w:pPr>
        <w:spacing w:line="360" w:lineRule="auto"/>
        <w:ind w:firstLine="361" w:firstLineChars="150"/>
        <w:jc w:val="left"/>
        <w:rPr>
          <w:color w:val="auto"/>
          <w:highlight w:val="none"/>
        </w:rPr>
      </w:pPr>
      <w:r>
        <w:rPr>
          <w:rFonts w:hint="eastAsia" w:ascii="宋体" w:hAnsi="宋体" w:cs="宋体"/>
          <w:b/>
          <w:bCs/>
          <w:color w:val="auto"/>
          <w:sz w:val="24"/>
          <w:highlight w:val="none"/>
        </w:rPr>
        <w:t>2、中小企业划分标准见工业和信息化部国家统计局国家发展和改革委员财政部《关于印发中小企业划型标准规定的通知》（工信部联企业【2011】300号）。</w:t>
      </w:r>
    </w:p>
    <w:p w14:paraId="7C657AB9">
      <w:pPr>
        <w:spacing w:after="120" w:line="480" w:lineRule="auto"/>
        <w:ind w:left="420" w:leftChars="200"/>
        <w:jc w:val="center"/>
        <w:rPr>
          <w:rFonts w:ascii="黑体" w:hAnsi="黑体" w:eastAsia="黑体" w:cs="宋体"/>
          <w:bCs/>
          <w:color w:val="auto"/>
          <w:sz w:val="32"/>
          <w:szCs w:val="32"/>
          <w:highlight w:val="none"/>
        </w:rPr>
      </w:pPr>
      <w:r>
        <w:rPr>
          <w:color w:val="auto"/>
          <w:highlight w:val="none"/>
        </w:rPr>
        <w:br w:type="page"/>
      </w:r>
      <w:r>
        <w:rPr>
          <w:rFonts w:ascii="黑体" w:hAnsi="黑体" w:eastAsia="黑体" w:cs="宋体"/>
          <w:bCs/>
          <w:color w:val="auto"/>
          <w:sz w:val="32"/>
          <w:szCs w:val="32"/>
          <w:highlight w:val="none"/>
        </w:rPr>
        <w:t>附</w:t>
      </w:r>
      <w:r>
        <w:rPr>
          <w:rFonts w:hint="eastAsia" w:ascii="黑体" w:hAnsi="黑体" w:eastAsia="黑体" w:cs="宋体"/>
          <w:bCs/>
          <w:color w:val="auto"/>
          <w:sz w:val="32"/>
          <w:szCs w:val="32"/>
          <w:highlight w:val="none"/>
        </w:rPr>
        <w:t>2：</w:t>
      </w:r>
      <w:r>
        <w:rPr>
          <w:rFonts w:ascii="黑体" w:hAnsi="黑体" w:eastAsia="黑体" w:cs="宋体"/>
          <w:bCs/>
          <w:color w:val="auto"/>
          <w:sz w:val="32"/>
          <w:szCs w:val="32"/>
          <w:highlight w:val="none"/>
        </w:rPr>
        <w:t>残疾人福利性单位声明函</w:t>
      </w:r>
    </w:p>
    <w:p w14:paraId="7195F661">
      <w:pPr>
        <w:spacing w:after="120" w:line="480" w:lineRule="auto"/>
        <w:ind w:firstLine="480" w:firstLineChars="200"/>
        <w:jc w:val="left"/>
        <w:rPr>
          <w:color w:val="auto"/>
          <w:sz w:val="24"/>
          <w:highlight w:val="none"/>
        </w:rPr>
      </w:pPr>
    </w:p>
    <w:p w14:paraId="7792829D">
      <w:pPr>
        <w:spacing w:after="120" w:line="48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或者提供其他残疾人福利性单位制造的货物（不包括使用非残疾人福利性单位注册商标的货物）。</w:t>
      </w:r>
    </w:p>
    <w:p w14:paraId="4995D813">
      <w:pPr>
        <w:spacing w:after="120" w:line="48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本单位对上述声明的真实性负责。如有虚假，将依法承担相应责任。</w:t>
      </w:r>
    </w:p>
    <w:p w14:paraId="6ACBEFF0">
      <w:pPr>
        <w:spacing w:after="120" w:line="480" w:lineRule="auto"/>
        <w:ind w:firstLine="480" w:firstLineChars="200"/>
        <w:jc w:val="left"/>
        <w:rPr>
          <w:rFonts w:ascii="宋体" w:hAnsi="宋体"/>
          <w:color w:val="auto"/>
          <w:sz w:val="24"/>
          <w:szCs w:val="24"/>
          <w:highlight w:val="none"/>
        </w:rPr>
      </w:pPr>
    </w:p>
    <w:p w14:paraId="0E4555E7">
      <w:pPr>
        <w:spacing w:after="120" w:line="480" w:lineRule="auto"/>
        <w:ind w:firstLine="3840" w:firstLineChars="1600"/>
        <w:jc w:val="left"/>
        <w:rPr>
          <w:rFonts w:ascii="宋体" w:hAnsi="宋体"/>
          <w:color w:val="auto"/>
          <w:sz w:val="24"/>
          <w:szCs w:val="24"/>
          <w:highlight w:val="none"/>
        </w:rPr>
      </w:pPr>
      <w:r>
        <w:rPr>
          <w:rFonts w:hint="eastAsia" w:ascii="宋体" w:hAnsi="宋体"/>
          <w:color w:val="auto"/>
          <w:sz w:val="24"/>
          <w:szCs w:val="24"/>
          <w:highlight w:val="none"/>
        </w:rPr>
        <w:t>单位名称（盖章）：</w:t>
      </w:r>
    </w:p>
    <w:p w14:paraId="5EBC248B">
      <w:pPr>
        <w:spacing w:after="120" w:line="480" w:lineRule="auto"/>
        <w:ind w:firstLine="3840" w:firstLineChars="1600"/>
        <w:jc w:val="left"/>
        <w:rPr>
          <w:rFonts w:ascii="宋体" w:hAnsi="宋体"/>
          <w:color w:val="auto"/>
          <w:sz w:val="24"/>
          <w:szCs w:val="24"/>
          <w:highlight w:val="none"/>
        </w:rPr>
      </w:pPr>
      <w:r>
        <w:rPr>
          <w:rFonts w:hint="eastAsia" w:ascii="宋体" w:hAnsi="宋体"/>
          <w:color w:val="auto"/>
          <w:sz w:val="24"/>
          <w:szCs w:val="24"/>
          <w:highlight w:val="none"/>
        </w:rPr>
        <w:t>日期：</w:t>
      </w:r>
    </w:p>
    <w:p w14:paraId="2DF6753A">
      <w:pPr>
        <w:widowControl/>
        <w:jc w:val="left"/>
        <w:rPr>
          <w:color w:val="auto"/>
          <w:sz w:val="24"/>
          <w:highlight w:val="none"/>
        </w:rPr>
      </w:pPr>
      <w:r>
        <w:rPr>
          <w:color w:val="auto"/>
          <w:sz w:val="24"/>
          <w:highlight w:val="none"/>
        </w:rPr>
        <w:br w:type="page"/>
      </w:r>
    </w:p>
    <w:p w14:paraId="578856F3">
      <w:pPr>
        <w:spacing w:after="120" w:line="480" w:lineRule="auto"/>
        <w:ind w:left="420"/>
        <w:jc w:val="center"/>
        <w:rPr>
          <w:rFonts w:ascii="黑体" w:hAnsi="黑体" w:eastAsia="黑体"/>
          <w:color w:val="auto"/>
          <w:sz w:val="30"/>
          <w:szCs w:val="30"/>
          <w:highlight w:val="none"/>
        </w:rPr>
      </w:pPr>
      <w:r>
        <w:rPr>
          <w:rFonts w:hint="eastAsia" w:ascii="黑体" w:hAnsi="黑体" w:eastAsia="黑体"/>
          <w:color w:val="auto"/>
          <w:sz w:val="30"/>
          <w:szCs w:val="30"/>
          <w:highlight w:val="none"/>
        </w:rPr>
        <w:t>附3：监狱企业证明文件</w:t>
      </w:r>
    </w:p>
    <w:p w14:paraId="3572246E">
      <w:pPr>
        <w:spacing w:after="120" w:line="480" w:lineRule="auto"/>
        <w:ind w:firstLine="566" w:firstLineChars="236"/>
        <w:jc w:val="left"/>
        <w:rPr>
          <w:rFonts w:ascii="宋体" w:hAnsi="宋体"/>
          <w:color w:val="auto"/>
          <w:sz w:val="24"/>
          <w:szCs w:val="24"/>
          <w:highlight w:val="none"/>
        </w:rPr>
      </w:pPr>
      <w:r>
        <w:rPr>
          <w:rFonts w:hint="eastAsia" w:ascii="宋体" w:hAnsi="宋体"/>
          <w:color w:val="auto"/>
          <w:sz w:val="24"/>
          <w:szCs w:val="24"/>
          <w:highlight w:val="none"/>
        </w:rPr>
        <w:t>（监狱企业参加政府采购活动时，应当提供由省级以上监狱管理局、戒毒管理局（含新疆生产建设兵团）出具的属于监狱企业的证明文件。在响应文件中提供原件扫描件。）</w:t>
      </w:r>
    </w:p>
    <w:p w14:paraId="6196F878">
      <w:pPr>
        <w:spacing w:after="120" w:line="480" w:lineRule="auto"/>
        <w:jc w:val="left"/>
        <w:rPr>
          <w:color w:val="auto"/>
          <w:highlight w:val="none"/>
        </w:rPr>
      </w:pPr>
    </w:p>
    <w:p w14:paraId="765D56B7">
      <w:pPr>
        <w:jc w:val="center"/>
        <w:rPr>
          <w:rFonts w:ascii="宋体" w:hAnsi="宋体"/>
          <w:color w:val="auto"/>
          <w:sz w:val="24"/>
          <w:szCs w:val="24"/>
          <w:highlight w:val="none"/>
        </w:rPr>
      </w:pPr>
    </w:p>
    <w:p w14:paraId="2AB6FCF8">
      <w:pPr>
        <w:widowControl/>
        <w:jc w:val="left"/>
        <w:rPr>
          <w:color w:val="auto"/>
          <w:sz w:val="20"/>
          <w:highlight w:val="none"/>
        </w:rPr>
      </w:pPr>
    </w:p>
    <w:p w14:paraId="28630AE0">
      <w:pPr>
        <w:rPr>
          <w:color w:val="auto"/>
          <w:highlight w:val="none"/>
        </w:rPr>
      </w:pPr>
    </w:p>
    <w:sectPr>
      <w:pgSz w:w="11905" w:h="16838"/>
      <w:pgMar w:top="1440" w:right="1417" w:bottom="1440" w:left="1417" w:header="680" w:footer="680" w:gutter="0"/>
      <w:pgBorders>
        <w:top w:val="none" w:sz="0" w:space="0"/>
        <w:left w:val="none" w:sz="0" w:space="0"/>
        <w:bottom w:val="none" w:sz="0" w:space="0"/>
        <w:right w:val="none" w:sz="0" w:space="0"/>
      </w:pgBorders>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FB36D">
    <w:pPr>
      <w:pStyle w:val="11"/>
      <w:jc w:val="right"/>
    </w:pPr>
    <w:r>
      <w:rPr>
        <w:rFonts w:hint="eastAsia"/>
      </w:rPr>
      <w:t>`</w:t>
    </w:r>
  </w:p>
  <w:p w14:paraId="6C7E696D">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D0BE3">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2CF58B">
                          <w:pPr>
                            <w:pStyle w:val="11"/>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A2CF58B">
                    <w:pPr>
                      <w:pStyle w:val="11"/>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6399F">
    <w:pPr>
      <w:pStyle w:val="11"/>
      <w:ind w:right="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BADB93">
                          <w:pPr>
                            <w:pStyle w:val="11"/>
                          </w:pPr>
                          <w:r>
                            <w:fldChar w:fldCharType="begin"/>
                          </w:r>
                          <w:r>
                            <w:instrText xml:space="preserve"> PAGE  \* MERGEFORMAT </w:instrText>
                          </w:r>
                          <w:r>
                            <w:fldChar w:fldCharType="separate"/>
                          </w:r>
                          <w:r>
                            <w:t>30</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08BADB93">
                    <w:pPr>
                      <w:pStyle w:val="11"/>
                    </w:pPr>
                    <w:r>
                      <w:fldChar w:fldCharType="begin"/>
                    </w:r>
                    <w:r>
                      <w:instrText xml:space="preserve"> PAGE  \* MERGEFORMAT </w:instrText>
                    </w:r>
                    <w:r>
                      <w:fldChar w:fldCharType="separate"/>
                    </w:r>
                    <w:r>
                      <w:t>30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736AD">
    <w:pP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0CA41"/>
    <w:multiLevelType w:val="singleLevel"/>
    <w:tmpl w:val="8240CA41"/>
    <w:lvl w:ilvl="0" w:tentative="0">
      <w:start w:val="1"/>
      <w:numFmt w:val="decimal"/>
      <w:suff w:val="nothing"/>
      <w:lvlText w:val="%1．"/>
      <w:lvlJc w:val="left"/>
      <w:pPr>
        <w:ind w:left="0" w:firstLine="400"/>
      </w:pPr>
      <w:rPr>
        <w:rFonts w:hint="default"/>
      </w:rPr>
    </w:lvl>
  </w:abstractNum>
  <w:abstractNum w:abstractNumId="1">
    <w:nsid w:val="8EEE3122"/>
    <w:multiLevelType w:val="singleLevel"/>
    <w:tmpl w:val="8EEE3122"/>
    <w:lvl w:ilvl="0" w:tentative="0">
      <w:start w:val="1"/>
      <w:numFmt w:val="decimal"/>
      <w:suff w:val="nothing"/>
      <w:lvlText w:val="%1．"/>
      <w:lvlJc w:val="left"/>
      <w:pPr>
        <w:ind w:left="0" w:firstLine="400"/>
      </w:pPr>
      <w:rPr>
        <w:rFonts w:hint="default"/>
      </w:rPr>
    </w:lvl>
  </w:abstractNum>
  <w:abstractNum w:abstractNumId="2">
    <w:nsid w:val="9976A466"/>
    <w:multiLevelType w:val="singleLevel"/>
    <w:tmpl w:val="9976A466"/>
    <w:lvl w:ilvl="0" w:tentative="0">
      <w:start w:val="1"/>
      <w:numFmt w:val="decimal"/>
      <w:suff w:val="nothing"/>
      <w:lvlText w:val="%1．"/>
      <w:lvlJc w:val="left"/>
      <w:pPr>
        <w:ind w:left="0" w:firstLine="400"/>
      </w:pPr>
      <w:rPr>
        <w:rFonts w:hint="default"/>
      </w:rPr>
    </w:lvl>
  </w:abstractNum>
  <w:abstractNum w:abstractNumId="3">
    <w:nsid w:val="9F3A8492"/>
    <w:multiLevelType w:val="singleLevel"/>
    <w:tmpl w:val="9F3A8492"/>
    <w:lvl w:ilvl="0" w:tentative="0">
      <w:start w:val="1"/>
      <w:numFmt w:val="decimal"/>
      <w:suff w:val="nothing"/>
      <w:lvlText w:val="%1．"/>
      <w:lvlJc w:val="left"/>
      <w:pPr>
        <w:ind w:left="0" w:firstLine="400"/>
      </w:pPr>
      <w:rPr>
        <w:rFonts w:hint="default"/>
      </w:rPr>
    </w:lvl>
  </w:abstractNum>
  <w:abstractNum w:abstractNumId="4">
    <w:nsid w:val="A543F4D5"/>
    <w:multiLevelType w:val="singleLevel"/>
    <w:tmpl w:val="A543F4D5"/>
    <w:lvl w:ilvl="0" w:tentative="0">
      <w:start w:val="2"/>
      <w:numFmt w:val="decimal"/>
      <w:suff w:val="nothing"/>
      <w:lvlText w:val="%1、"/>
      <w:lvlJc w:val="left"/>
    </w:lvl>
  </w:abstractNum>
  <w:abstractNum w:abstractNumId="5">
    <w:nsid w:val="A5824C07"/>
    <w:multiLevelType w:val="singleLevel"/>
    <w:tmpl w:val="A5824C07"/>
    <w:lvl w:ilvl="0" w:tentative="0">
      <w:start w:val="1"/>
      <w:numFmt w:val="decimal"/>
      <w:suff w:val="nothing"/>
      <w:lvlText w:val="%1．"/>
      <w:lvlJc w:val="left"/>
      <w:pPr>
        <w:ind w:left="0" w:firstLine="400"/>
      </w:pPr>
      <w:rPr>
        <w:rFonts w:hint="default"/>
      </w:rPr>
    </w:lvl>
  </w:abstractNum>
  <w:abstractNum w:abstractNumId="6">
    <w:nsid w:val="BF6BC116"/>
    <w:multiLevelType w:val="singleLevel"/>
    <w:tmpl w:val="BF6BC116"/>
    <w:lvl w:ilvl="0" w:tentative="0">
      <w:start w:val="16"/>
      <w:numFmt w:val="decimal"/>
      <w:suff w:val="space"/>
      <w:lvlText w:val="%1."/>
      <w:lvlJc w:val="left"/>
    </w:lvl>
  </w:abstractNum>
  <w:abstractNum w:abstractNumId="7">
    <w:nsid w:val="CFE7C3F8"/>
    <w:multiLevelType w:val="singleLevel"/>
    <w:tmpl w:val="CFE7C3F8"/>
    <w:lvl w:ilvl="0" w:tentative="0">
      <w:start w:val="1"/>
      <w:numFmt w:val="decimal"/>
      <w:suff w:val="nothing"/>
      <w:lvlText w:val="（%1）"/>
      <w:lvlJc w:val="left"/>
    </w:lvl>
  </w:abstractNum>
  <w:abstractNum w:abstractNumId="8">
    <w:nsid w:val="DDECD3BC"/>
    <w:multiLevelType w:val="singleLevel"/>
    <w:tmpl w:val="DDECD3BC"/>
    <w:lvl w:ilvl="0" w:tentative="0">
      <w:start w:val="6"/>
      <w:numFmt w:val="decimal"/>
      <w:suff w:val="space"/>
      <w:lvlText w:val="%1."/>
      <w:lvlJc w:val="left"/>
    </w:lvl>
  </w:abstractNum>
  <w:abstractNum w:abstractNumId="9">
    <w:nsid w:val="DE759F4B"/>
    <w:multiLevelType w:val="singleLevel"/>
    <w:tmpl w:val="DE759F4B"/>
    <w:lvl w:ilvl="0" w:tentative="0">
      <w:start w:val="2"/>
      <w:numFmt w:val="decimal"/>
      <w:suff w:val="space"/>
      <w:lvlText w:val="%1."/>
      <w:lvlJc w:val="left"/>
    </w:lvl>
  </w:abstractNum>
  <w:abstractNum w:abstractNumId="10">
    <w:nsid w:val="DE7FBF49"/>
    <w:multiLevelType w:val="singleLevel"/>
    <w:tmpl w:val="DE7FBF49"/>
    <w:lvl w:ilvl="0" w:tentative="0">
      <w:start w:val="1"/>
      <w:numFmt w:val="decimal"/>
      <w:suff w:val="nothing"/>
      <w:lvlText w:val="%1．"/>
      <w:lvlJc w:val="left"/>
      <w:pPr>
        <w:ind w:left="0" w:firstLine="400"/>
      </w:pPr>
      <w:rPr>
        <w:rFonts w:hint="default"/>
      </w:rPr>
    </w:lvl>
  </w:abstractNum>
  <w:abstractNum w:abstractNumId="11">
    <w:nsid w:val="DEABE1DB"/>
    <w:multiLevelType w:val="singleLevel"/>
    <w:tmpl w:val="DEABE1DB"/>
    <w:lvl w:ilvl="0" w:tentative="0">
      <w:start w:val="23"/>
      <w:numFmt w:val="decimal"/>
      <w:suff w:val="space"/>
      <w:lvlText w:val="%1."/>
      <w:lvlJc w:val="left"/>
    </w:lvl>
  </w:abstractNum>
  <w:abstractNum w:abstractNumId="12">
    <w:nsid w:val="F3FC5E68"/>
    <w:multiLevelType w:val="singleLevel"/>
    <w:tmpl w:val="F3FC5E68"/>
    <w:lvl w:ilvl="0" w:tentative="0">
      <w:start w:val="1"/>
      <w:numFmt w:val="decimal"/>
      <w:suff w:val="nothing"/>
      <w:lvlText w:val="%1、"/>
      <w:lvlJc w:val="left"/>
    </w:lvl>
  </w:abstractNum>
  <w:abstractNum w:abstractNumId="13">
    <w:nsid w:val="FACF214C"/>
    <w:multiLevelType w:val="singleLevel"/>
    <w:tmpl w:val="FACF214C"/>
    <w:lvl w:ilvl="0" w:tentative="0">
      <w:start w:val="1"/>
      <w:numFmt w:val="decimal"/>
      <w:suff w:val="nothing"/>
      <w:lvlText w:val="%1．"/>
      <w:lvlJc w:val="left"/>
      <w:pPr>
        <w:ind w:left="0" w:firstLine="400"/>
      </w:pPr>
      <w:rPr>
        <w:rFonts w:hint="default"/>
      </w:rPr>
    </w:lvl>
  </w:abstractNum>
  <w:abstractNum w:abstractNumId="14">
    <w:nsid w:val="FFEFC674"/>
    <w:multiLevelType w:val="singleLevel"/>
    <w:tmpl w:val="FFEFC674"/>
    <w:lvl w:ilvl="0" w:tentative="0">
      <w:start w:val="1"/>
      <w:numFmt w:val="decimal"/>
      <w:suff w:val="nothing"/>
      <w:lvlText w:val="（%1）"/>
      <w:lvlJc w:val="left"/>
    </w:lvl>
  </w:abstractNum>
  <w:abstractNum w:abstractNumId="15">
    <w:nsid w:val="40C6B5B4"/>
    <w:multiLevelType w:val="singleLevel"/>
    <w:tmpl w:val="40C6B5B4"/>
    <w:lvl w:ilvl="0" w:tentative="0">
      <w:start w:val="1"/>
      <w:numFmt w:val="decimal"/>
      <w:suff w:val="nothing"/>
      <w:lvlText w:val="%1．"/>
      <w:lvlJc w:val="left"/>
      <w:pPr>
        <w:ind w:left="0" w:firstLine="400"/>
      </w:pPr>
      <w:rPr>
        <w:rFonts w:hint="default"/>
      </w:rPr>
    </w:lvl>
  </w:abstractNum>
  <w:abstractNum w:abstractNumId="16">
    <w:nsid w:val="582D69F7"/>
    <w:multiLevelType w:val="singleLevel"/>
    <w:tmpl w:val="582D69F7"/>
    <w:lvl w:ilvl="0" w:tentative="0">
      <w:start w:val="3"/>
      <w:numFmt w:val="decimal"/>
      <w:suff w:val="nothing"/>
      <w:lvlText w:val="%1．"/>
      <w:lvlJc w:val="left"/>
    </w:lvl>
  </w:abstractNum>
  <w:abstractNum w:abstractNumId="17">
    <w:nsid w:val="7A0F6431"/>
    <w:multiLevelType w:val="singleLevel"/>
    <w:tmpl w:val="7A0F6431"/>
    <w:lvl w:ilvl="0" w:tentative="0">
      <w:start w:val="1"/>
      <w:numFmt w:val="decimal"/>
      <w:suff w:val="space"/>
      <w:lvlText w:val="%1."/>
      <w:lvlJc w:val="left"/>
    </w:lvl>
  </w:abstractNum>
  <w:num w:numId="1">
    <w:abstractNumId w:val="4"/>
  </w:num>
  <w:num w:numId="2">
    <w:abstractNumId w:val="13"/>
  </w:num>
  <w:num w:numId="3">
    <w:abstractNumId w:val="1"/>
  </w:num>
  <w:num w:numId="4">
    <w:abstractNumId w:val="10"/>
  </w:num>
  <w:num w:numId="5">
    <w:abstractNumId w:val="2"/>
  </w:num>
  <w:num w:numId="6">
    <w:abstractNumId w:val="3"/>
  </w:num>
  <w:num w:numId="7">
    <w:abstractNumId w:val="15"/>
  </w:num>
  <w:num w:numId="8">
    <w:abstractNumId w:val="5"/>
  </w:num>
  <w:num w:numId="9">
    <w:abstractNumId w:val="0"/>
  </w:num>
  <w:num w:numId="10">
    <w:abstractNumId w:val="12"/>
  </w:num>
  <w:num w:numId="11">
    <w:abstractNumId w:val="17"/>
  </w:num>
  <w:num w:numId="12">
    <w:abstractNumId w:val="7"/>
  </w:num>
  <w:num w:numId="13">
    <w:abstractNumId w:val="14"/>
  </w:num>
  <w:num w:numId="14">
    <w:abstractNumId w:val="9"/>
  </w:num>
  <w:num w:numId="15">
    <w:abstractNumId w:val="8"/>
  </w:num>
  <w:num w:numId="16">
    <w:abstractNumId w:val="6"/>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0D2ECA"/>
    <w:rsid w:val="00F73EFB"/>
    <w:rsid w:val="01AE4BD6"/>
    <w:rsid w:val="0364747B"/>
    <w:rsid w:val="04963B0C"/>
    <w:rsid w:val="0A8643B4"/>
    <w:rsid w:val="0D8D3C2D"/>
    <w:rsid w:val="126908F3"/>
    <w:rsid w:val="140E7DCB"/>
    <w:rsid w:val="164E5475"/>
    <w:rsid w:val="170F4451"/>
    <w:rsid w:val="172C038A"/>
    <w:rsid w:val="1D9D7AD1"/>
    <w:rsid w:val="21CB4217"/>
    <w:rsid w:val="247516A7"/>
    <w:rsid w:val="27EE3C0E"/>
    <w:rsid w:val="28C64B8B"/>
    <w:rsid w:val="29176F41"/>
    <w:rsid w:val="29846CFF"/>
    <w:rsid w:val="2D6B0414"/>
    <w:rsid w:val="2E6B5FB9"/>
    <w:rsid w:val="32C32F2F"/>
    <w:rsid w:val="335E433E"/>
    <w:rsid w:val="3524525B"/>
    <w:rsid w:val="390B3002"/>
    <w:rsid w:val="3AA35841"/>
    <w:rsid w:val="3AB27B94"/>
    <w:rsid w:val="4013200C"/>
    <w:rsid w:val="447E0BA0"/>
    <w:rsid w:val="45297C62"/>
    <w:rsid w:val="457E6CA4"/>
    <w:rsid w:val="47CC58C3"/>
    <w:rsid w:val="4CC520C4"/>
    <w:rsid w:val="4F1813ED"/>
    <w:rsid w:val="4FE87012"/>
    <w:rsid w:val="500D2ECA"/>
    <w:rsid w:val="55A95745"/>
    <w:rsid w:val="588C15CC"/>
    <w:rsid w:val="598D22F5"/>
    <w:rsid w:val="5A363B72"/>
    <w:rsid w:val="5A773354"/>
    <w:rsid w:val="5B8D499C"/>
    <w:rsid w:val="5BE2700B"/>
    <w:rsid w:val="5D323FC2"/>
    <w:rsid w:val="5E761C8C"/>
    <w:rsid w:val="63FE31A4"/>
    <w:rsid w:val="678E458A"/>
    <w:rsid w:val="6A2A19C5"/>
    <w:rsid w:val="6F2403C7"/>
    <w:rsid w:val="6F2D3F54"/>
    <w:rsid w:val="743B3304"/>
    <w:rsid w:val="77F54F9A"/>
    <w:rsid w:val="79C117DB"/>
    <w:rsid w:val="7A501527"/>
    <w:rsid w:val="7C554931"/>
    <w:rsid w:val="7DD65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adjustRightInd w:val="0"/>
      <w:snapToGrid w:val="0"/>
      <w:spacing w:line="360" w:lineRule="auto"/>
      <w:jc w:val="center"/>
      <w:outlineLvl w:val="0"/>
    </w:pPr>
    <w:rPr>
      <w:rFonts w:ascii="Calibri" w:hAnsi="Calibri"/>
      <w:b/>
      <w:kern w:val="44"/>
      <w:sz w:val="32"/>
    </w:rPr>
  </w:style>
  <w:style w:type="paragraph" w:styleId="3">
    <w:name w:val="heading 2"/>
    <w:basedOn w:val="1"/>
    <w:next w:val="1"/>
    <w:qFormat/>
    <w:uiPriority w:val="0"/>
    <w:pPr>
      <w:widowControl/>
      <w:suppressAutoHyphens/>
      <w:adjustRightInd w:val="0"/>
      <w:spacing w:before="120" w:line="360" w:lineRule="auto"/>
      <w:ind w:firstLine="567"/>
      <w:jc w:val="center"/>
      <w:outlineLvl w:val="1"/>
    </w:pPr>
    <w:rPr>
      <w:rFonts w:ascii="Arial" w:hAnsi="Arial" w:eastAsia="黑体"/>
      <w:b/>
      <w:color w:val="FF0000"/>
      <w:kern w:val="28"/>
      <w:sz w:val="30"/>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99"/>
    <w:pPr>
      <w:jc w:val="left"/>
    </w:pPr>
    <w:rPr>
      <w:kern w:val="0"/>
      <w:sz w:val="20"/>
      <w:szCs w:val="24"/>
    </w:rPr>
  </w:style>
  <w:style w:type="paragraph" w:styleId="5">
    <w:name w:val="Body Text 3"/>
    <w:basedOn w:val="1"/>
    <w:qFormat/>
    <w:uiPriority w:val="0"/>
    <w:rPr>
      <w:sz w:val="24"/>
    </w:rPr>
  </w:style>
  <w:style w:type="paragraph" w:styleId="6">
    <w:name w:val="Body Text"/>
    <w:basedOn w:val="1"/>
    <w:next w:val="7"/>
    <w:unhideWhenUsed/>
    <w:qFormat/>
    <w:uiPriority w:val="99"/>
    <w:pPr>
      <w:spacing w:after="120"/>
    </w:pPr>
  </w:style>
  <w:style w:type="paragraph" w:styleId="7">
    <w:name w:val="toc 2"/>
    <w:basedOn w:val="1"/>
    <w:next w:val="1"/>
    <w:qFormat/>
    <w:uiPriority w:val="0"/>
    <w:pPr>
      <w:tabs>
        <w:tab w:val="right" w:leader="middleDot" w:pos="8640"/>
        <w:tab w:val="left" w:pos="9180"/>
      </w:tabs>
      <w:spacing w:line="460" w:lineRule="exact"/>
    </w:pPr>
    <w:rPr>
      <w:sz w:val="24"/>
    </w:rPr>
  </w:style>
  <w:style w:type="paragraph" w:styleId="8">
    <w:name w:val="Body Text Indent"/>
    <w:basedOn w:val="1"/>
    <w:unhideWhenUsed/>
    <w:qFormat/>
    <w:uiPriority w:val="99"/>
    <w:pPr>
      <w:spacing w:after="120"/>
      <w:ind w:left="420" w:leftChars="200"/>
    </w:pPr>
  </w:style>
  <w:style w:type="paragraph" w:styleId="9">
    <w:name w:val="List 2"/>
    <w:basedOn w:val="1"/>
    <w:qFormat/>
    <w:uiPriority w:val="0"/>
    <w:pPr>
      <w:ind w:left="100" w:leftChars="200" w:hanging="200" w:hangingChars="200"/>
    </w:pPr>
    <w:rPr>
      <w:szCs w:val="24"/>
    </w:rPr>
  </w:style>
  <w:style w:type="paragraph" w:styleId="10">
    <w:name w:val="Plain Text"/>
    <w:basedOn w:val="1"/>
    <w:qFormat/>
    <w:uiPriority w:val="0"/>
    <w:rPr>
      <w:rFonts w:ascii="宋体" w:hAnsi="Courier New"/>
      <w:kern w:val="0"/>
      <w:sz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rPr>
      <w:szCs w:val="24"/>
    </w:rPr>
  </w:style>
  <w:style w:type="paragraph" w:styleId="14">
    <w:name w:val="Body Text First Indent"/>
    <w:basedOn w:val="6"/>
    <w:next w:val="15"/>
    <w:qFormat/>
    <w:uiPriority w:val="0"/>
    <w:pPr>
      <w:adjustRightInd w:val="0"/>
      <w:spacing w:after="60" w:line="360" w:lineRule="atLeast"/>
      <w:ind w:left="72" w:leftChars="30" w:right="30" w:rightChars="30" w:firstLine="420" w:firstLineChars="100"/>
      <w:jc w:val="center"/>
      <w:textAlignment w:val="baseline"/>
    </w:pPr>
  </w:style>
  <w:style w:type="paragraph" w:styleId="15">
    <w:name w:val="Body Text First Indent 2"/>
    <w:basedOn w:val="8"/>
    <w:next w:val="1"/>
    <w:qFormat/>
    <w:uiPriority w:val="99"/>
    <w:pPr>
      <w:ind w:firstLine="420" w:firstLineChars="200"/>
    </w:pPr>
    <w:rPr>
      <w:rFonts w:ascii="宋体" w:hAnsi="Calibri"/>
      <w:kern w:val="0"/>
      <w:sz w:val="3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0">
    <w:name w:val="List Paragraph"/>
    <w:basedOn w:val="1"/>
    <w:unhideWhenUsed/>
    <w:qFormat/>
    <w:uiPriority w:val="34"/>
    <w:pPr>
      <w:ind w:firstLine="420" w:firstLineChars="200"/>
    </w:pPr>
  </w:style>
  <w:style w:type="paragraph" w:customStyle="1" w:styleId="2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2">
    <w:name w:val="列出段落1"/>
    <w:basedOn w:val="1"/>
    <w:unhideWhenUsed/>
    <w:qFormat/>
    <w:uiPriority w:val="99"/>
    <w:pPr>
      <w:ind w:firstLine="420" w:firstLineChars="200"/>
    </w:pPr>
  </w:style>
  <w:style w:type="paragraph" w:customStyle="1" w:styleId="23">
    <w:name w:val="Table Text"/>
    <w:basedOn w:val="1"/>
    <w:semiHidden/>
    <w:qFormat/>
    <w:uiPriority w:val="0"/>
    <w:rPr>
      <w:rFonts w:ascii="宋体" w:hAnsi="宋体" w:eastAsia="宋体" w:cs="宋体"/>
      <w:sz w:val="24"/>
      <w:szCs w:val="24"/>
      <w:lang w:val="en-US" w:eastAsia="en-US" w:bidi="ar-SA"/>
    </w:rPr>
  </w:style>
  <w:style w:type="paragraph" w:customStyle="1" w:styleId="24">
    <w:name w:val="正文1"/>
    <w:basedOn w:val="1"/>
    <w:qFormat/>
    <w:uiPriority w:val="0"/>
    <w:pPr>
      <w:tabs>
        <w:tab w:val="left" w:pos="1800"/>
        <w:tab w:val="left" w:pos="2160"/>
      </w:tabs>
      <w:spacing w:line="480" w:lineRule="auto"/>
    </w:pPr>
    <w:rPr>
      <w:iCs/>
      <w:sz w:val="24"/>
      <w:szCs w:val="24"/>
    </w:rPr>
  </w:style>
  <w:style w:type="table" w:customStyle="1" w:styleId="2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111</Pages>
  <Words>49764</Words>
  <Characters>53421</Characters>
  <Lines>0</Lines>
  <Paragraphs>0</Paragraphs>
  <TotalTime>18</TotalTime>
  <ScaleCrop>false</ScaleCrop>
  <LinksUpToDate>false</LinksUpToDate>
  <CharactersWithSpaces>56005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2025-11-11T15:58:00Z</dcterms:created>
  <dc:creator>人生何处不青山</dc:creator>
  <cp:lastModifiedBy>三门峡</cp:lastModifiedBy>
  <dcterms:modified xsi:type="dcterms:W3CDTF">2025-11-20T14:07:21Z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7F2B395A4D3046D4BBE49B45D604BE08_13</vt:lpwstr>
  </property>
  <property fmtid="{D5CDD505-2E9C-101B-9397-08002B2CF9AE}" pid="4" name="KSOTemplateDocerSaveRecord">
    <vt:lpwstr>eyJoZGlkIjoiNDcxMzcxMzNkMjI2MDZlYjUwOWVmOGNkY2Q5NjE5ZjMiLCJ1c2VySWQiOiIxOTcyOTQ0NSJ9</vt:lpwstr>
  </property>
</Properties>
</file>